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C7" w:rsidRPr="0014676D" w:rsidRDefault="006E7CC7" w:rsidP="0014676D">
      <w:pPr>
        <w:widowControl/>
        <w:pBdr>
          <w:bottom w:val="dotted" w:sz="6" w:space="8" w:color="A3C3D2"/>
        </w:pBdr>
        <w:shd w:val="clear" w:color="auto" w:fill="F5FBFF"/>
        <w:spacing w:before="100" w:beforeAutospacing="1" w:after="100" w:afterAutospacing="1" w:line="440" w:lineRule="exact"/>
        <w:jc w:val="center"/>
        <w:outlineLvl w:val="4"/>
        <w:rPr>
          <w:rFonts w:ascii="华文中宋" w:eastAsia="华文中宋" w:hAnsi="华文中宋" w:cs="Arial" w:hint="eastAsia"/>
          <w:b/>
          <w:bCs/>
          <w:color w:val="333333"/>
          <w:kern w:val="0"/>
          <w:sz w:val="30"/>
          <w:szCs w:val="30"/>
        </w:rPr>
      </w:pPr>
      <w:r w:rsidRPr="0014676D">
        <w:rPr>
          <w:rFonts w:ascii="华文中宋" w:eastAsia="华文中宋" w:hAnsi="华文中宋" w:cs="Arial"/>
          <w:b/>
          <w:bCs/>
          <w:color w:val="333333"/>
          <w:kern w:val="0"/>
          <w:sz w:val="30"/>
          <w:szCs w:val="30"/>
        </w:rPr>
        <w:t>关于加强学位与研究生教育质量保证和监督体系建设的意见</w:t>
      </w:r>
    </w:p>
    <w:p w:rsidR="0014676D" w:rsidRPr="0014676D" w:rsidRDefault="0014676D" w:rsidP="0014676D">
      <w:pPr>
        <w:widowControl/>
        <w:pBdr>
          <w:bottom w:val="dotted" w:sz="6" w:space="8" w:color="A3C3D2"/>
        </w:pBdr>
        <w:shd w:val="clear" w:color="auto" w:fill="F5FBFF"/>
        <w:spacing w:before="100" w:beforeAutospacing="1" w:after="100" w:afterAutospacing="1" w:line="440" w:lineRule="exact"/>
        <w:jc w:val="center"/>
        <w:outlineLvl w:val="4"/>
        <w:rPr>
          <w:rFonts w:ascii="黑体" w:eastAsia="黑体" w:hAnsi="黑体" w:cs="Arial"/>
          <w:b/>
          <w:bCs/>
          <w:color w:val="333333"/>
          <w:kern w:val="0"/>
          <w:sz w:val="28"/>
          <w:szCs w:val="28"/>
        </w:rPr>
      </w:pPr>
      <w:r w:rsidRPr="0014676D">
        <w:rPr>
          <w:rFonts w:ascii="黑体" w:eastAsia="黑体" w:hAnsi="黑体" w:cs="Arial"/>
          <w:b/>
          <w:bCs/>
          <w:color w:val="333333"/>
          <w:kern w:val="0"/>
          <w:sz w:val="28"/>
          <w:szCs w:val="28"/>
        </w:rPr>
        <w:t>国务院学位委员会 教育部</w:t>
      </w:r>
    </w:p>
    <w:p w:rsidR="006E7CC7" w:rsidRPr="0014676D" w:rsidRDefault="006E7CC7" w:rsidP="0014676D">
      <w:pPr>
        <w:widowControl/>
        <w:pBdr>
          <w:bottom w:val="dotted" w:sz="6" w:space="8" w:color="A3C3D2"/>
        </w:pBdr>
        <w:shd w:val="clear" w:color="auto" w:fill="F5FBFF"/>
        <w:spacing w:before="100" w:beforeAutospacing="1" w:after="100" w:afterAutospacing="1" w:line="440" w:lineRule="exact"/>
        <w:jc w:val="center"/>
        <w:outlineLvl w:val="2"/>
        <w:rPr>
          <w:rFonts w:ascii="黑体" w:eastAsia="黑体" w:hAnsi="黑体" w:cs="Arial"/>
          <w:b/>
          <w:bCs/>
          <w:color w:val="333333"/>
          <w:kern w:val="0"/>
          <w:sz w:val="28"/>
          <w:szCs w:val="28"/>
        </w:rPr>
      </w:pPr>
      <w:r w:rsidRPr="0014676D">
        <w:rPr>
          <w:rFonts w:ascii="黑体" w:eastAsia="黑体" w:hAnsi="黑体" w:cs="Arial"/>
          <w:b/>
          <w:bCs/>
          <w:color w:val="333333"/>
          <w:kern w:val="0"/>
          <w:sz w:val="28"/>
          <w:szCs w:val="28"/>
        </w:rPr>
        <w:t xml:space="preserve">学位[2014]3号 </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各省、自治区、直辖市学位委员会、教育厅（教委），新疆生产建设兵团教育局，中国科学院大学，中国社会科学院研究生院，中共中央党校学位评定委员会，中国人民解放军学位委员会，各学位授予单位：</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为贯彻落实党的十八大和十八届三中全会精神以及《国家中长期教育改革和发展规划纲要（</w:t>
      </w:r>
      <w:r w:rsidRPr="0014676D">
        <w:rPr>
          <w:rFonts w:ascii="ˎ̥" w:hAnsi="ˎ̥" w:cs="Arial"/>
          <w:color w:val="333333"/>
          <w:sz w:val="28"/>
          <w:szCs w:val="28"/>
        </w:rPr>
        <w:t>2010</w:t>
      </w:r>
      <w:r w:rsidRPr="0014676D">
        <w:rPr>
          <w:rFonts w:ascii="ˎ̥" w:hAnsi="ˎ̥" w:cs="Arial"/>
          <w:color w:val="333333"/>
          <w:sz w:val="28"/>
          <w:szCs w:val="28"/>
        </w:rPr>
        <w:t>－</w:t>
      </w:r>
      <w:r w:rsidRPr="0014676D">
        <w:rPr>
          <w:rFonts w:ascii="ˎ̥" w:hAnsi="ˎ̥" w:cs="Arial"/>
          <w:color w:val="333333"/>
          <w:sz w:val="28"/>
          <w:szCs w:val="28"/>
        </w:rPr>
        <w:t>2020</w:t>
      </w:r>
      <w:r w:rsidRPr="0014676D">
        <w:rPr>
          <w:rFonts w:ascii="ˎ̥" w:hAnsi="ˎ̥" w:cs="Arial"/>
          <w:color w:val="333333"/>
          <w:sz w:val="28"/>
          <w:szCs w:val="28"/>
        </w:rPr>
        <w:t>年）》，实施《教育部国家发展改革委财政部关于深化研究生教育改革的意见》（教研〔</w:t>
      </w:r>
      <w:r w:rsidRPr="0014676D">
        <w:rPr>
          <w:rFonts w:ascii="ˎ̥" w:hAnsi="ˎ̥" w:cs="Arial"/>
          <w:color w:val="333333"/>
          <w:sz w:val="28"/>
          <w:szCs w:val="28"/>
        </w:rPr>
        <w:t>2013</w:t>
      </w:r>
      <w:r w:rsidRPr="0014676D">
        <w:rPr>
          <w:rFonts w:ascii="ˎ̥" w:hAnsi="ˎ̥" w:cs="Arial"/>
          <w:color w:val="333333"/>
          <w:sz w:val="28"/>
          <w:szCs w:val="28"/>
        </w:rPr>
        <w:t>〕</w:t>
      </w:r>
      <w:r w:rsidRPr="0014676D">
        <w:rPr>
          <w:rFonts w:ascii="ˎ̥" w:hAnsi="ˎ̥" w:cs="Arial"/>
          <w:color w:val="333333"/>
          <w:sz w:val="28"/>
          <w:szCs w:val="28"/>
        </w:rPr>
        <w:t>1</w:t>
      </w:r>
      <w:r w:rsidRPr="0014676D">
        <w:rPr>
          <w:rFonts w:ascii="ˎ̥" w:hAnsi="ˎ̥" w:cs="Arial"/>
          <w:color w:val="333333"/>
          <w:sz w:val="28"/>
          <w:szCs w:val="28"/>
        </w:rPr>
        <w:t>号），走内涵式发展道路，提高研究生教育质量，现就加强学位与研究生教育质量保证和监督体系建设提出如下意见。</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一、加强质量保证和监督体系建设的意义</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加强质量保证和监督体系建设，在学位与研究生教育事业发展中具有重要作用。面对高层次人才培养的新形势，提高质量是研究生教育改革和发展最核心最紧迫的任务，亟需进一步完善与研究生教育强国建设相适应、符合国情和遵循研究生教育规律的质量保证和监督体系。</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二、总体思路</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1</w:t>
      </w:r>
      <w:r w:rsidRPr="0014676D">
        <w:rPr>
          <w:rFonts w:ascii="ˎ̥" w:hAnsi="ˎ̥" w:cs="Arial"/>
          <w:color w:val="333333"/>
          <w:sz w:val="28"/>
          <w:szCs w:val="28"/>
        </w:rPr>
        <w:t>．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2</w:t>
      </w:r>
      <w:r w:rsidRPr="0014676D">
        <w:rPr>
          <w:rFonts w:ascii="ˎ̥" w:hAnsi="ˎ̥" w:cs="Arial"/>
          <w:color w:val="333333"/>
          <w:sz w:val="28"/>
          <w:szCs w:val="28"/>
        </w:rPr>
        <w:t>．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要加强教育行政部门的政策支撑与宏观监管，以质量为主导统筹资源配置，发挥学术组织、行业部门和社会机构的质量监督作用。</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lastRenderedPageBreak/>
        <w:t xml:space="preserve">　　</w:t>
      </w:r>
      <w:r w:rsidRPr="0014676D">
        <w:rPr>
          <w:rFonts w:ascii="ˎ̥" w:hAnsi="ˎ̥" w:cs="Arial"/>
          <w:color w:val="333333"/>
          <w:sz w:val="28"/>
          <w:szCs w:val="28"/>
        </w:rPr>
        <w:t>3</w:t>
      </w:r>
      <w:r w:rsidRPr="0014676D">
        <w:rPr>
          <w:rFonts w:ascii="ˎ̥" w:hAnsi="ˎ̥" w:cs="Arial"/>
          <w:color w:val="333333"/>
          <w:sz w:val="28"/>
          <w:szCs w:val="28"/>
        </w:rPr>
        <w:t>．基本原则。</w:t>
      </w:r>
      <w:r w:rsidRPr="0014676D">
        <w:rPr>
          <w:rFonts w:hint="eastAsia"/>
          <w:color w:val="333333"/>
          <w:sz w:val="28"/>
          <w:szCs w:val="28"/>
        </w:rPr>
        <w:t>①</w:t>
      </w:r>
      <w:r w:rsidRPr="0014676D">
        <w:rPr>
          <w:rFonts w:ascii="ˎ̥" w:hAnsi="ˎ̥" w:cs="Arial"/>
          <w:color w:val="333333"/>
          <w:sz w:val="28"/>
          <w:szCs w:val="28"/>
        </w:rPr>
        <w:t>标准先行。根据经济社会发展多样化需求，制订不同类型、层次和学科类别研究生培养和学位授予标准。</w:t>
      </w:r>
      <w:r w:rsidRPr="0014676D">
        <w:rPr>
          <w:rFonts w:hint="eastAsia"/>
          <w:color w:val="333333"/>
          <w:sz w:val="28"/>
          <w:szCs w:val="28"/>
        </w:rPr>
        <w:t>②</w:t>
      </w:r>
      <w:r w:rsidRPr="0014676D">
        <w:rPr>
          <w:rFonts w:ascii="ˎ̥" w:hAnsi="ˎ̥" w:cs="Arial"/>
          <w:color w:val="333333"/>
          <w:sz w:val="28"/>
          <w:szCs w:val="28"/>
        </w:rPr>
        <w:t>分类监管。根据不同主体和对象，采取相应的质量监管方式，加强分类指导和管理。</w:t>
      </w:r>
      <w:r w:rsidRPr="0014676D">
        <w:rPr>
          <w:rFonts w:hint="eastAsia"/>
          <w:color w:val="333333"/>
          <w:sz w:val="28"/>
          <w:szCs w:val="28"/>
        </w:rPr>
        <w:t>③</w:t>
      </w:r>
      <w:r w:rsidRPr="0014676D">
        <w:rPr>
          <w:rFonts w:ascii="ˎ̥" w:hAnsi="ˎ̥" w:cs="Arial"/>
          <w:color w:val="333333"/>
          <w:sz w:val="28"/>
          <w:szCs w:val="28"/>
        </w:rPr>
        <w:t>统筹协调。充分调动各主体的创造性，形成上下配合、内外协调、积极有效的质量保证和监督机制。</w:t>
      </w:r>
      <w:r w:rsidRPr="0014676D">
        <w:rPr>
          <w:rFonts w:hint="eastAsia"/>
          <w:color w:val="333333"/>
          <w:sz w:val="28"/>
          <w:szCs w:val="28"/>
        </w:rPr>
        <w:t>④</w:t>
      </w:r>
      <w:r w:rsidRPr="0014676D">
        <w:rPr>
          <w:rFonts w:ascii="ˎ̥" w:hAnsi="ˎ̥" w:cs="Arial"/>
          <w:color w:val="333333"/>
          <w:sz w:val="28"/>
          <w:szCs w:val="28"/>
        </w:rPr>
        <w:t>支撑发展。质量保证和监督体系建设要有利于促进学位与研究生教育事业科学发展，有利于全面提升研究生教育质量。</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三、强化学位授予单位的质量保证</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1</w:t>
      </w:r>
      <w:r w:rsidRPr="0014676D">
        <w:rPr>
          <w:rFonts w:ascii="ˎ̥" w:hAnsi="ˎ̥" w:cs="Arial"/>
          <w:color w:val="333333"/>
          <w:sz w:val="28"/>
          <w:szCs w:val="28"/>
        </w:rPr>
        <w:t>．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2</w:t>
      </w:r>
      <w:r w:rsidRPr="0014676D">
        <w:rPr>
          <w:rFonts w:ascii="ˎ̥" w:hAnsi="ˎ̥" w:cs="Arial"/>
          <w:color w:val="333333"/>
          <w:sz w:val="28"/>
          <w:szCs w:val="28"/>
        </w:rPr>
        <w:t>．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3</w:t>
      </w:r>
      <w:r w:rsidRPr="0014676D">
        <w:rPr>
          <w:rFonts w:ascii="ˎ̥" w:hAnsi="ˎ̥" w:cs="Arial"/>
          <w:color w:val="333333"/>
          <w:sz w:val="28"/>
          <w:szCs w:val="28"/>
        </w:rPr>
        <w:t>．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4</w:t>
      </w:r>
      <w:r w:rsidRPr="0014676D">
        <w:rPr>
          <w:rFonts w:ascii="ˎ̥" w:hAnsi="ˎ̥" w:cs="Arial"/>
          <w:color w:val="333333"/>
          <w:sz w:val="28"/>
          <w:szCs w:val="28"/>
        </w:rPr>
        <w:t>．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四、加强教育行政部门的质量监管</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1</w:t>
      </w:r>
      <w:r w:rsidRPr="0014676D">
        <w:rPr>
          <w:rFonts w:ascii="ˎ̥" w:hAnsi="ˎ̥" w:cs="Arial"/>
          <w:color w:val="333333"/>
          <w:sz w:val="28"/>
          <w:szCs w:val="28"/>
        </w:rPr>
        <w:t>．委托国务院学位委员会学科评议组和全国专业学位研究生教育指导委员会，按一级学科和专业学位类别分别制订《博士硕士学位基本要求》，为学位授予单位实施研究生培养、各级教育行政部门开展质量监管提供基本依据。</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2</w:t>
      </w:r>
      <w:r w:rsidRPr="0014676D">
        <w:rPr>
          <w:rFonts w:ascii="ˎ̥" w:hAnsi="ˎ̥" w:cs="Arial"/>
          <w:color w:val="333333"/>
          <w:sz w:val="28"/>
          <w:szCs w:val="28"/>
        </w:rPr>
        <w:t>．建立学位授权点合格评估制度，以人才培养为核心，制订科学的评估标准，开展研究生教育质量评估工作。按类型、分层次组织实施评估工</w:t>
      </w:r>
      <w:r w:rsidRPr="0014676D">
        <w:rPr>
          <w:rFonts w:ascii="ˎ̥" w:hAnsi="ˎ̥" w:cs="Arial"/>
          <w:color w:val="333333"/>
          <w:sz w:val="28"/>
          <w:szCs w:val="28"/>
        </w:rPr>
        <w:lastRenderedPageBreak/>
        <w:t>作，提高评估实效。对存在质量问题的学位授予单位，采取约谈、通报、限期整改直至撤销学位授权等处理办法。不断改进学科评估工作。</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3</w:t>
      </w:r>
      <w:r w:rsidRPr="0014676D">
        <w:rPr>
          <w:rFonts w:ascii="ˎ̥" w:hAnsi="ˎ̥" w:cs="Arial"/>
          <w:color w:val="333333"/>
          <w:sz w:val="28"/>
          <w:szCs w:val="28"/>
        </w:rPr>
        <w:t>．开展博士、硕士学位论文抽检工作，强化学位授予单位、导师和研究生的质量意识，加强学位授予管理，保证学位授予质量。建立研究生教育绩效拨款制度，推动人才培养的改革与创新，促进研究生教育质量不断提升。</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4</w:t>
      </w:r>
      <w:r w:rsidRPr="0014676D">
        <w:rPr>
          <w:rFonts w:ascii="ˎ̥" w:hAnsi="ˎ̥" w:cs="Arial"/>
          <w:color w:val="333333"/>
          <w:sz w:val="28"/>
          <w:szCs w:val="28"/>
        </w:rPr>
        <w:t>．建立全国研究生教育质量信息平台，及时公开学位与研究生教育相关信息，开展质量调查，定期发布教育行政部门、学位授予单位和相关学术组织的研究生教育质量报告，促进学位授予单位质量自律，加强质量预警，营造良好的质量环境。</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5</w:t>
      </w:r>
      <w:r w:rsidRPr="0014676D">
        <w:rPr>
          <w:rFonts w:ascii="ˎ̥" w:hAnsi="ˎ̥" w:cs="Arial"/>
          <w:color w:val="333333"/>
          <w:sz w:val="28"/>
          <w:szCs w:val="28"/>
        </w:rPr>
        <w:t>．省级教育行政部门要加大对本地区学位与研究生教育质量的监管力度，做好硕士学位授权点合格评估、省级重点学科评选、硕士学位论文抽检、优秀学位论文评选等工作。积极推动研究生教育质量监督区域协作机制建设。</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五、充分发挥学术组织、行业部门和社会机构的监督作用</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1</w:t>
      </w:r>
      <w:r w:rsidRPr="0014676D">
        <w:rPr>
          <w:rFonts w:ascii="ˎ̥" w:hAnsi="ˎ̥" w:cs="Arial"/>
          <w:color w:val="333333"/>
          <w:sz w:val="28"/>
          <w:szCs w:val="28"/>
        </w:rPr>
        <w:t>．充分发挥国务院学位委员会学科评议组、全国专业学位研究生教育指导委员会、中国学位与研究生教育学会等学术组织在研究生教育质量调查研究、标准制订、评估论证及学风建设等方面的重要作用。</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2</w:t>
      </w:r>
      <w:r w:rsidRPr="0014676D">
        <w:rPr>
          <w:rFonts w:ascii="ˎ̥" w:hAnsi="ˎ̥" w:cs="Arial"/>
          <w:color w:val="333333"/>
          <w:sz w:val="28"/>
          <w:szCs w:val="28"/>
        </w:rPr>
        <w:t>．充分发挥行业部门在人才培养、需求分析、标准制订、实践训练和专业学位质量认证等方面的积极作用。鼓励社会机构积极参与研究生教育质量监督，逐步建立独立、科学、公正，且具有良好声誉的研究生教育质量社会评价机制。</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各省级教育行政部门和学位授予单位要加强领导，把学位与研究生教育质量保证和监督体系建设作为推进研究生教育改革与发展的重要内容，认真做好组织实施工作。省级教育行政部门要根据本地区实际，制订相关措施，统筹本地区研究生教育质量保证和监督工作。学位授予单位要在全面总结已有经验的基础上，健全质量保证体系，不断提高研究生教育质量。附件：学位授予单位研究生教育质量保证体系建设基本规范</w:t>
      </w:r>
    </w:p>
    <w:p w:rsidR="0014676D" w:rsidRDefault="006E7CC7" w:rsidP="0014676D">
      <w:pPr>
        <w:pStyle w:val="a3"/>
        <w:shd w:val="clear" w:color="auto" w:fill="F5FBFF"/>
        <w:spacing w:line="440" w:lineRule="exact"/>
        <w:jc w:val="right"/>
        <w:rPr>
          <w:rFonts w:ascii="ˎ̥" w:hAnsi="ˎ̥" w:cs="Arial" w:hint="eastAsia"/>
          <w:color w:val="333333"/>
          <w:sz w:val="28"/>
          <w:szCs w:val="28"/>
        </w:rPr>
      </w:pPr>
      <w:r w:rsidRPr="0014676D">
        <w:rPr>
          <w:rFonts w:ascii="ˎ̥" w:hAnsi="ˎ̥" w:cs="Arial"/>
          <w:color w:val="333333"/>
          <w:sz w:val="28"/>
          <w:szCs w:val="28"/>
        </w:rPr>
        <w:t xml:space="preserve">　</w:t>
      </w:r>
    </w:p>
    <w:p w:rsidR="0014676D" w:rsidRDefault="0014676D" w:rsidP="0014676D">
      <w:pPr>
        <w:pStyle w:val="a3"/>
        <w:shd w:val="clear" w:color="auto" w:fill="F5FBFF"/>
        <w:spacing w:line="440" w:lineRule="exact"/>
        <w:jc w:val="right"/>
        <w:rPr>
          <w:rFonts w:ascii="ˎ̥" w:hAnsi="ˎ̥" w:cs="Arial" w:hint="eastAsia"/>
          <w:color w:val="333333"/>
          <w:sz w:val="28"/>
          <w:szCs w:val="28"/>
        </w:rPr>
      </w:pPr>
    </w:p>
    <w:p w:rsidR="006E7CC7" w:rsidRPr="0014676D" w:rsidRDefault="006E7CC7" w:rsidP="0014676D">
      <w:pPr>
        <w:pStyle w:val="a3"/>
        <w:shd w:val="clear" w:color="auto" w:fill="F5FBFF"/>
        <w:spacing w:line="440" w:lineRule="exact"/>
        <w:jc w:val="right"/>
        <w:rPr>
          <w:rFonts w:ascii="ˎ̥" w:hAnsi="ˎ̥" w:cs="Arial"/>
          <w:color w:val="333333"/>
          <w:sz w:val="28"/>
          <w:szCs w:val="28"/>
        </w:rPr>
      </w:pPr>
      <w:r w:rsidRPr="0014676D">
        <w:rPr>
          <w:rFonts w:ascii="ˎ̥" w:hAnsi="ˎ̥" w:cs="Arial"/>
          <w:color w:val="333333"/>
          <w:sz w:val="28"/>
          <w:szCs w:val="28"/>
        </w:rPr>
        <w:t xml:space="preserve">　国务院学位委员会</w:t>
      </w:r>
      <w:r w:rsidRPr="0014676D">
        <w:rPr>
          <w:rFonts w:ascii="ˎ̥" w:hAnsi="ˎ̥" w:cs="Arial"/>
          <w:color w:val="333333"/>
          <w:sz w:val="28"/>
          <w:szCs w:val="28"/>
        </w:rPr>
        <w:t xml:space="preserve"> </w:t>
      </w:r>
      <w:r w:rsidRPr="0014676D">
        <w:rPr>
          <w:rFonts w:ascii="ˎ̥" w:hAnsi="ˎ̥" w:cs="Arial"/>
          <w:color w:val="333333"/>
          <w:sz w:val="28"/>
          <w:szCs w:val="28"/>
        </w:rPr>
        <w:t>教育部</w:t>
      </w:r>
    </w:p>
    <w:p w:rsidR="006E7CC7" w:rsidRPr="0014676D" w:rsidRDefault="006E7CC7" w:rsidP="0014676D">
      <w:pPr>
        <w:pStyle w:val="a3"/>
        <w:shd w:val="clear" w:color="auto" w:fill="F5FBFF"/>
        <w:spacing w:line="440" w:lineRule="exact"/>
        <w:jc w:val="right"/>
        <w:rPr>
          <w:rFonts w:ascii="ˎ̥" w:hAnsi="ˎ̥" w:cs="Arial"/>
          <w:color w:val="333333"/>
          <w:sz w:val="28"/>
          <w:szCs w:val="28"/>
        </w:rPr>
      </w:pPr>
      <w:r w:rsidRPr="0014676D">
        <w:rPr>
          <w:rFonts w:ascii="ˎ̥" w:hAnsi="ˎ̥" w:cs="Arial"/>
          <w:color w:val="333333"/>
          <w:sz w:val="28"/>
          <w:szCs w:val="28"/>
        </w:rPr>
        <w:t xml:space="preserve">　　</w:t>
      </w:r>
      <w:r w:rsidRPr="0014676D">
        <w:rPr>
          <w:rFonts w:ascii="ˎ̥" w:hAnsi="ˎ̥" w:cs="Arial"/>
          <w:color w:val="333333"/>
          <w:sz w:val="28"/>
          <w:szCs w:val="28"/>
        </w:rPr>
        <w:t>2014</w:t>
      </w:r>
      <w:r w:rsidRPr="0014676D">
        <w:rPr>
          <w:rFonts w:ascii="ˎ̥" w:hAnsi="ˎ̥" w:cs="Arial"/>
          <w:color w:val="333333"/>
          <w:sz w:val="28"/>
          <w:szCs w:val="28"/>
        </w:rPr>
        <w:t>年</w:t>
      </w:r>
      <w:r w:rsidRPr="0014676D">
        <w:rPr>
          <w:rFonts w:ascii="ˎ̥" w:hAnsi="ˎ̥" w:cs="Arial"/>
          <w:color w:val="333333"/>
          <w:sz w:val="28"/>
          <w:szCs w:val="28"/>
        </w:rPr>
        <w:t>1</w:t>
      </w:r>
      <w:r w:rsidRPr="0014676D">
        <w:rPr>
          <w:rFonts w:ascii="ˎ̥" w:hAnsi="ˎ̥" w:cs="Arial"/>
          <w:color w:val="333333"/>
          <w:sz w:val="28"/>
          <w:szCs w:val="28"/>
        </w:rPr>
        <w:t>月</w:t>
      </w:r>
      <w:r w:rsidRPr="0014676D">
        <w:rPr>
          <w:rFonts w:ascii="ˎ̥" w:hAnsi="ˎ̥" w:cs="Arial"/>
          <w:color w:val="333333"/>
          <w:sz w:val="28"/>
          <w:szCs w:val="28"/>
        </w:rPr>
        <w:t>29</w:t>
      </w:r>
      <w:r w:rsidRPr="0014676D">
        <w:rPr>
          <w:rFonts w:ascii="ˎ̥" w:hAnsi="ˎ̥" w:cs="Arial"/>
          <w:color w:val="333333"/>
          <w:sz w:val="28"/>
          <w:szCs w:val="28"/>
        </w:rPr>
        <w:t>日</w:t>
      </w:r>
    </w:p>
    <w:p w:rsidR="006E7CC7" w:rsidRPr="0014676D" w:rsidRDefault="006E7CC7" w:rsidP="006E7CC7">
      <w:pPr>
        <w:pStyle w:val="a3"/>
        <w:shd w:val="clear" w:color="auto" w:fill="F5FBFF"/>
        <w:spacing w:line="345" w:lineRule="atLeast"/>
        <w:rPr>
          <w:rFonts w:ascii="ˎ̥" w:hAnsi="ˎ̥" w:cs="Arial"/>
          <w:color w:val="333333"/>
          <w:sz w:val="28"/>
          <w:szCs w:val="28"/>
        </w:rPr>
      </w:pPr>
      <w:r w:rsidRPr="0014676D">
        <w:rPr>
          <w:rStyle w:val="a4"/>
          <w:rFonts w:ascii="ˎ̥" w:hAnsi="ˎ̥" w:cs="Arial"/>
          <w:color w:val="333333"/>
          <w:sz w:val="28"/>
          <w:szCs w:val="28"/>
        </w:rPr>
        <w:lastRenderedPageBreak/>
        <w:t xml:space="preserve">　附件</w:t>
      </w:r>
    </w:p>
    <w:p w:rsidR="006E7CC7" w:rsidRPr="0014676D" w:rsidRDefault="006E7CC7" w:rsidP="0014676D">
      <w:pPr>
        <w:pStyle w:val="a3"/>
        <w:shd w:val="clear" w:color="auto" w:fill="F5FBFF"/>
        <w:spacing w:line="345" w:lineRule="atLeast"/>
        <w:jc w:val="center"/>
        <w:rPr>
          <w:rFonts w:ascii="ˎ̥" w:hAnsi="ˎ̥" w:cs="Arial"/>
          <w:color w:val="333333"/>
          <w:sz w:val="28"/>
          <w:szCs w:val="28"/>
        </w:rPr>
      </w:pPr>
      <w:r w:rsidRPr="0014676D">
        <w:rPr>
          <w:rStyle w:val="a4"/>
          <w:rFonts w:ascii="ˎ̥" w:hAnsi="ˎ̥" w:cs="Arial"/>
          <w:color w:val="333333"/>
          <w:sz w:val="28"/>
          <w:szCs w:val="28"/>
        </w:rPr>
        <w:t xml:space="preserve">　　学位授予单位研究生教育质量证体系建设基本规范</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为指导学位授予单位建设内部质量保证体系，制定本规范。</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一、目标与标准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确立研究生教育发展目标。根据国家和区域经济社会发展的需求，结合本单位研究生教育实际，确定研究生教育层次、类型、规模和结构等方面的发展目标，并定期调整。</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制订学位授予标准。在国家制定的《博士硕士学位基本要求》基础上，按学科或专业学位类别制订与本单位办学定位相一致的博士、硕士学位授予标准。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制订学科专业设置与调整办法。制订本单位一级学科授权点和专业学位授权点增列与撤销办法，二级学科自主设置与调整的办法，明确标准，规范程序，形成学位授权点动态调整机制，优化结构，发展特色。</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二、招生管理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研究生招生指标配置办法。综合考虑经济社会发展需求，研究生生源质量、培养质量、就业状况，以及培养经费、科研任务、导师队伍、实践基地等研究生培养条件方面的因素，制订以质量为导向的研究生招生指标配置办法。</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制订研究生招生选拔规定。建立有效的招生自我约束机制，规范招生选拔，充分明确导师在研究生招生选拔中的职责和权力，加强对考生综合素质和发展潜力的考察，保证招生质量。</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三、培养过程与学位授予管理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培养方案。培养方案应明确培养目标、课程体系、培养环节，要遵循研究生教育规律，创新培养模式，体现学科特色和学术前沿，突出个性化培养。专业学位研究生培养方案的制订要吸收行业部门参与，注重实践和创新能力培养。</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制订研究生课程体系建设办法。根据经济社会发展需求、学科发展前沿和研究生个人发展需要，建构科学合理的课程体系，及时更新课程内容，丰富课程类型。</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制订课程教学质量监控办法。明确授课教师资质，规范课程教学，建立科学的教学督导和评价制度，加强对授课质量的监测和评估，提高课程</w:t>
      </w:r>
      <w:r w:rsidRPr="0014676D">
        <w:rPr>
          <w:rFonts w:ascii="ˎ̥" w:hAnsi="ˎ̥" w:cs="Arial"/>
          <w:color w:val="333333"/>
          <w:sz w:val="28"/>
          <w:szCs w:val="28"/>
        </w:rPr>
        <w:lastRenderedPageBreak/>
        <w:t>教学质量。制订专业学位研究生实践教学质量的监督与评价办法，保证实践教学质量。</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建立健全中期考核制度。不断提高研究生中期考核或博士生资格考试的科学性和有效性，切实发挥其在研究生培养过程中的筛选作用。</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健全学位论文开题及评阅制度。论文开题要有规范的程序，论文评阅要保证有一定数量的外单位同行专家参与，加强匿名评阅等适合本单位实际的论文评阅制度建设，有条件的单位应探索国际同行评阅。</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健全论文答辩和学位授予制度。完善学位论文预答辩、答辩和答辩后修改等制度。答辩委员会和各级学位评定委员会要严格履行职责，保证学位授予质量。</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建立科学道德与学术规范教育制度。在研究生培养过程中安排必修环节，对研究生进行科学精神、科学道德、学术规范、学术伦理和职业道德教育。明确学术不端行为处罚办法。</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制订研究生分流与淘汰办法。制订研究生课程学习、中期考核、资格考试和学位论文开题等各阶段的分流与淘汰办法。</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四、导师岗位管理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制订导师考核评价办法。规范导师岗位管理，实施导师招生资格审查，建立学术学位和专业学位研究生导师分类考核评价制度。</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制订导师交流与培训办法。建立和完善导师国内外学术交流与合作制度，为导师提高学术和实践能力提供平台。加强导师培训，不断提高导师指导能力。</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导师激励与问责制。完善导师激励制度，明确和保障导师在研究生培养中的责任与权力，调动导师育人积极性，发挥导师科学道德和学术规范的示范作用。完善导师问责制，对培养质量出现问题的导师，视情况分别采取质量约谈、限招、停招等处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五、研究生管理与服务</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建立健全研究生奖助制度。以鼓励创新为导向，完善机制，充分发挥奖助学金的激励作用。统筹制订各类奖助学金评选办法，保证评选过程公平、公正、公开，奖助学金的评选要有一定比例的导师和研究生参加。</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建立研究生权益保护机制。完善研究生培养过程中的正当利益诉求和权利救济机制，加强对研究生的权益保护。</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lastRenderedPageBreak/>
        <w:t xml:space="preserve">　　建立研究生就业指导与服务制度。健全研究生就业市场和信息服务体系，加强研究生创业教育，鼓励研究生创业和面向基层就业。</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六、条件保障与质量监督</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制订研究生教育资源配置办法。按学科或专业学位类别制订研究生教育资源配置办法，保障各类研究生学习、科研、实践和生活等基本条件。</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建立自我评估制度。以提高质量为导向，定期开展学位授权点和研究生培养质量自我评估，发现问题，提出改进措施。鼓励有条件的学科或专业学位类别参加国际评估或专业资格认证。</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建立质量跟踪和反馈制度。建立毕业生发展质量跟踪调查和反馈制度，定期听取用人单位意见，开展人才培养质量和发展质量分析，及时调整人才培养结构。</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建立质量信息公开制度。建立研究生教育质量信息公开制度，主动公开研究生培养质量和发展质量信息，定期发布本单位研究生教育发展质量报告。</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Style w:val="a4"/>
          <w:rFonts w:ascii="ˎ̥" w:hAnsi="ˎ̥" w:cs="Arial"/>
          <w:color w:val="333333"/>
          <w:sz w:val="28"/>
          <w:szCs w:val="28"/>
        </w:rPr>
        <w:t xml:space="preserve">　　七、质量管理与质量文化</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健全质量管理组织机构。学位授予单位要明确研究生教育质量管理组织机构，以及学位评定委员会等组织的管理职责，规范研究生培养过程信息与档案管理。</w:t>
      </w:r>
    </w:p>
    <w:p w:rsidR="006E7CC7" w:rsidRPr="0014676D" w:rsidRDefault="006E7CC7" w:rsidP="0014676D">
      <w:pPr>
        <w:pStyle w:val="a3"/>
        <w:shd w:val="clear" w:color="auto" w:fill="F5FBFF"/>
        <w:spacing w:line="440" w:lineRule="exact"/>
        <w:rPr>
          <w:rFonts w:ascii="ˎ̥" w:hAnsi="ˎ̥" w:cs="Arial"/>
          <w:color w:val="333333"/>
          <w:sz w:val="28"/>
          <w:szCs w:val="28"/>
        </w:rPr>
      </w:pPr>
      <w:r w:rsidRPr="0014676D">
        <w:rPr>
          <w:rFonts w:ascii="ˎ̥" w:hAnsi="ˎ̥" w:cs="Arial"/>
          <w:color w:val="333333"/>
          <w:sz w:val="28"/>
          <w:szCs w:val="28"/>
        </w:rPr>
        <w:t xml:space="preserve">　　营造质量文化。通过质量制度建设、规范研究生教育过程管理，加强导师、研究生和管理人员的质量意识，形成体现自身发展定位、学术传统与特色的质量文化。</w:t>
      </w:r>
    </w:p>
    <w:p w:rsidR="00E904AA" w:rsidRPr="0014676D" w:rsidRDefault="00E904AA">
      <w:pPr>
        <w:rPr>
          <w:rFonts w:hint="eastAsia"/>
          <w:sz w:val="28"/>
          <w:szCs w:val="28"/>
        </w:rPr>
      </w:pPr>
    </w:p>
    <w:sectPr w:rsidR="00E904AA" w:rsidRPr="0014676D" w:rsidSect="0014676D">
      <w:headerReference w:type="even" r:id="rId6"/>
      <w:headerReference w:type="default" r:id="rId7"/>
      <w:footerReference w:type="even" r:id="rId8"/>
      <w:footerReference w:type="default" r:id="rId9"/>
      <w:headerReference w:type="first" r:id="rId10"/>
      <w:footerReference w:type="first" r:id="rId11"/>
      <w:pgSz w:w="11906" w:h="16838"/>
      <w:pgMar w:top="1440" w:right="1416"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EBB" w:rsidRDefault="00556EBB" w:rsidP="0014676D">
      <w:r>
        <w:separator/>
      </w:r>
    </w:p>
  </w:endnote>
  <w:endnote w:type="continuationSeparator" w:id="1">
    <w:p w:rsidR="00556EBB" w:rsidRDefault="00556EBB" w:rsidP="0014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EBB" w:rsidRDefault="00556EBB" w:rsidP="0014676D">
      <w:r>
        <w:separator/>
      </w:r>
    </w:p>
  </w:footnote>
  <w:footnote w:type="continuationSeparator" w:id="1">
    <w:p w:rsidR="00556EBB" w:rsidRDefault="00556EBB" w:rsidP="0014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rsidP="0014676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6D" w:rsidRDefault="0014676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CC7"/>
    <w:rsid w:val="000530BB"/>
    <w:rsid w:val="0014676D"/>
    <w:rsid w:val="00556EBB"/>
    <w:rsid w:val="00601B4C"/>
    <w:rsid w:val="006E7CC7"/>
    <w:rsid w:val="007A3077"/>
    <w:rsid w:val="00CB09A3"/>
    <w:rsid w:val="00E90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E7CC7"/>
    <w:pPr>
      <w:widowControl/>
      <w:jc w:val="left"/>
    </w:pPr>
    <w:rPr>
      <w:rFonts w:ascii="宋体" w:hAnsi="宋体" w:cs="宋体"/>
      <w:kern w:val="0"/>
      <w:sz w:val="24"/>
    </w:rPr>
  </w:style>
  <w:style w:type="character" w:styleId="a4">
    <w:name w:val="Strong"/>
    <w:basedOn w:val="a0"/>
    <w:qFormat/>
    <w:rsid w:val="006E7CC7"/>
    <w:rPr>
      <w:b/>
      <w:bCs/>
    </w:rPr>
  </w:style>
  <w:style w:type="paragraph" w:styleId="a5">
    <w:name w:val="header"/>
    <w:basedOn w:val="a"/>
    <w:link w:val="Char"/>
    <w:rsid w:val="00146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4676D"/>
    <w:rPr>
      <w:kern w:val="2"/>
      <w:sz w:val="18"/>
      <w:szCs w:val="18"/>
    </w:rPr>
  </w:style>
  <w:style w:type="paragraph" w:styleId="a6">
    <w:name w:val="footer"/>
    <w:basedOn w:val="a"/>
    <w:link w:val="Char0"/>
    <w:rsid w:val="0014676D"/>
    <w:pPr>
      <w:tabs>
        <w:tab w:val="center" w:pos="4153"/>
        <w:tab w:val="right" w:pos="8306"/>
      </w:tabs>
      <w:snapToGrid w:val="0"/>
      <w:jc w:val="left"/>
    </w:pPr>
    <w:rPr>
      <w:sz w:val="18"/>
      <w:szCs w:val="18"/>
    </w:rPr>
  </w:style>
  <w:style w:type="character" w:customStyle="1" w:styleId="Char0">
    <w:name w:val="页脚 Char"/>
    <w:basedOn w:val="a0"/>
    <w:link w:val="a6"/>
    <w:rsid w:val="0014676D"/>
    <w:rPr>
      <w:kern w:val="2"/>
      <w:sz w:val="18"/>
      <w:szCs w:val="18"/>
    </w:rPr>
  </w:style>
</w:styles>
</file>

<file path=word/webSettings.xml><?xml version="1.0" encoding="utf-8"?>
<w:webSettings xmlns:r="http://schemas.openxmlformats.org/officeDocument/2006/relationships" xmlns:w="http://schemas.openxmlformats.org/wordprocessingml/2006/main">
  <w:divs>
    <w:div w:id="899637792">
      <w:bodyDiv w:val="1"/>
      <w:marLeft w:val="0"/>
      <w:marRight w:val="0"/>
      <w:marTop w:val="0"/>
      <w:marBottom w:val="0"/>
      <w:divBdr>
        <w:top w:val="none" w:sz="0" w:space="0" w:color="auto"/>
        <w:left w:val="none" w:sz="0" w:space="0" w:color="auto"/>
        <w:bottom w:val="none" w:sz="0" w:space="0" w:color="auto"/>
        <w:right w:val="none" w:sz="0" w:space="0" w:color="auto"/>
      </w:divBdr>
      <w:divsChild>
        <w:div w:id="1134756792">
          <w:marLeft w:val="0"/>
          <w:marRight w:val="0"/>
          <w:marTop w:val="0"/>
          <w:marBottom w:val="0"/>
          <w:divBdr>
            <w:top w:val="none" w:sz="0" w:space="0" w:color="auto"/>
            <w:left w:val="none" w:sz="0" w:space="0" w:color="auto"/>
            <w:bottom w:val="none" w:sz="0" w:space="0" w:color="auto"/>
            <w:right w:val="single" w:sz="6" w:space="0" w:color="FFFFFF"/>
          </w:divBdr>
          <w:divsChild>
            <w:div w:id="387607251">
              <w:marLeft w:val="0"/>
              <w:marRight w:val="0"/>
              <w:marTop w:val="0"/>
              <w:marBottom w:val="0"/>
              <w:divBdr>
                <w:top w:val="single" w:sz="6" w:space="0" w:color="A3C3D2"/>
                <w:left w:val="single" w:sz="6" w:space="0" w:color="A3C3D2"/>
                <w:bottom w:val="single" w:sz="6" w:space="0" w:color="A3C3D2"/>
                <w:right w:val="single" w:sz="6" w:space="0" w:color="A3C3D2"/>
              </w:divBdr>
              <w:divsChild>
                <w:div w:id="1587768728">
                  <w:marLeft w:val="0"/>
                  <w:marRight w:val="0"/>
                  <w:marTop w:val="0"/>
                  <w:marBottom w:val="0"/>
                  <w:divBdr>
                    <w:top w:val="none" w:sz="0" w:space="0" w:color="auto"/>
                    <w:left w:val="none" w:sz="0" w:space="0" w:color="auto"/>
                    <w:bottom w:val="none" w:sz="0" w:space="0" w:color="auto"/>
                    <w:right w:val="none" w:sz="0" w:space="0" w:color="auto"/>
                  </w:divBdr>
                  <w:divsChild>
                    <w:div w:id="2076658609">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212306571">
      <w:bodyDiv w:val="1"/>
      <w:marLeft w:val="0"/>
      <w:marRight w:val="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0"/>
          <w:divBdr>
            <w:top w:val="none" w:sz="0" w:space="0" w:color="auto"/>
            <w:left w:val="none" w:sz="0" w:space="0" w:color="auto"/>
            <w:bottom w:val="none" w:sz="0" w:space="0" w:color="auto"/>
            <w:right w:val="single" w:sz="6" w:space="0" w:color="FFFFFF"/>
          </w:divBdr>
          <w:divsChild>
            <w:div w:id="747384567">
              <w:marLeft w:val="0"/>
              <w:marRight w:val="0"/>
              <w:marTop w:val="0"/>
              <w:marBottom w:val="0"/>
              <w:divBdr>
                <w:top w:val="single" w:sz="6" w:space="0" w:color="A3C3D2"/>
                <w:left w:val="single" w:sz="6" w:space="0" w:color="A3C3D2"/>
                <w:bottom w:val="single" w:sz="6" w:space="0" w:color="A3C3D2"/>
                <w:right w:val="single" w:sz="6" w:space="0" w:color="A3C3D2"/>
              </w:divBdr>
              <w:divsChild>
                <w:div w:id="1272470605">
                  <w:marLeft w:val="0"/>
                  <w:marRight w:val="0"/>
                  <w:marTop w:val="0"/>
                  <w:marBottom w:val="0"/>
                  <w:divBdr>
                    <w:top w:val="none" w:sz="0" w:space="0" w:color="auto"/>
                    <w:left w:val="none" w:sz="0" w:space="0" w:color="auto"/>
                    <w:bottom w:val="none" w:sz="0" w:space="0" w:color="auto"/>
                    <w:right w:val="none" w:sz="0" w:space="0" w:color="auto"/>
                  </w:divBdr>
                  <w:divsChild>
                    <w:div w:id="276526557">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581282725">
      <w:bodyDiv w:val="1"/>
      <w:marLeft w:val="0"/>
      <w:marRight w:val="0"/>
      <w:marTop w:val="0"/>
      <w:marBottom w:val="0"/>
      <w:divBdr>
        <w:top w:val="none" w:sz="0" w:space="0" w:color="auto"/>
        <w:left w:val="none" w:sz="0" w:space="0" w:color="auto"/>
        <w:bottom w:val="none" w:sz="0" w:space="0" w:color="auto"/>
        <w:right w:val="none" w:sz="0" w:space="0" w:color="auto"/>
      </w:divBdr>
      <w:divsChild>
        <w:div w:id="1132941994">
          <w:marLeft w:val="0"/>
          <w:marRight w:val="0"/>
          <w:marTop w:val="0"/>
          <w:marBottom w:val="0"/>
          <w:divBdr>
            <w:top w:val="none" w:sz="0" w:space="0" w:color="auto"/>
            <w:left w:val="none" w:sz="0" w:space="0" w:color="auto"/>
            <w:bottom w:val="none" w:sz="0" w:space="0" w:color="auto"/>
            <w:right w:val="single" w:sz="6" w:space="0" w:color="FFFFFF"/>
          </w:divBdr>
          <w:divsChild>
            <w:div w:id="784082862">
              <w:marLeft w:val="0"/>
              <w:marRight w:val="0"/>
              <w:marTop w:val="0"/>
              <w:marBottom w:val="0"/>
              <w:divBdr>
                <w:top w:val="single" w:sz="6" w:space="0" w:color="A3C3D2"/>
                <w:left w:val="single" w:sz="6" w:space="0" w:color="A3C3D2"/>
                <w:bottom w:val="single" w:sz="6" w:space="0" w:color="A3C3D2"/>
                <w:right w:val="single" w:sz="6" w:space="0" w:color="A3C3D2"/>
              </w:divBdr>
              <w:divsChild>
                <w:div w:id="58556246">
                  <w:marLeft w:val="0"/>
                  <w:marRight w:val="0"/>
                  <w:marTop w:val="0"/>
                  <w:marBottom w:val="0"/>
                  <w:divBdr>
                    <w:top w:val="none" w:sz="0" w:space="0" w:color="auto"/>
                    <w:left w:val="none" w:sz="0" w:space="0" w:color="auto"/>
                    <w:bottom w:val="none" w:sz="0" w:space="0" w:color="auto"/>
                    <w:right w:val="none" w:sz="0" w:space="0" w:color="auto"/>
                  </w:divBdr>
                  <w:divsChild>
                    <w:div w:id="1153377850">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687</Words>
  <Characters>3916</Characters>
  <Application>Microsoft Office Word</Application>
  <DocSecurity>0</DocSecurity>
  <Lines>32</Lines>
  <Paragraphs>9</Paragraphs>
  <ScaleCrop>false</ScaleCrop>
  <Company>CHINA</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国务院学位委员会 教育部关于加强学位与研究生教育质量保证和监督体系建设的意见</dc:title>
  <dc:creator>范世东</dc:creator>
  <cp:lastModifiedBy>ajt</cp:lastModifiedBy>
  <cp:revision>2</cp:revision>
  <dcterms:created xsi:type="dcterms:W3CDTF">2014-11-25T00:27:00Z</dcterms:created>
  <dcterms:modified xsi:type="dcterms:W3CDTF">2014-11-25T00:27:00Z</dcterms:modified>
</cp:coreProperties>
</file>