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7D6" w:rsidRDefault="00CB47D6" w:rsidP="00CB47D6">
      <w:pPr>
        <w:pStyle w:val="a7"/>
        <w:shd w:val="clear" w:color="auto" w:fill="FFFFFF"/>
        <w:spacing w:before="0" w:beforeAutospacing="0" w:after="0" w:afterAutospacing="0"/>
        <w:jc w:val="center"/>
        <w:rPr>
          <w:rFonts w:ascii="方正小标宋简体" w:eastAsia="方正小标宋简体"/>
          <w:b/>
          <w:color w:val="000000"/>
          <w:sz w:val="44"/>
          <w:szCs w:val="36"/>
          <w:shd w:val="clear" w:color="auto" w:fill="FFFFFF"/>
        </w:rPr>
      </w:pPr>
      <w:r w:rsidRPr="00334118">
        <w:rPr>
          <w:rFonts w:ascii="方正小标宋简体" w:eastAsia="方正小标宋简体" w:hint="eastAsia"/>
          <w:b/>
          <w:color w:val="000000"/>
          <w:sz w:val="44"/>
          <w:szCs w:val="36"/>
          <w:shd w:val="clear" w:color="auto" w:fill="FFFFFF"/>
        </w:rPr>
        <w:t>湖北省研究生工作站管理办法</w:t>
      </w:r>
    </w:p>
    <w:p w:rsidR="00CF60A5" w:rsidRPr="00334118" w:rsidRDefault="00CF60A5" w:rsidP="00CB47D6">
      <w:pPr>
        <w:pStyle w:val="a7"/>
        <w:shd w:val="clear" w:color="auto" w:fill="FFFFFF"/>
        <w:spacing w:before="0" w:beforeAutospacing="0" w:after="0" w:afterAutospacing="0"/>
        <w:jc w:val="center"/>
        <w:rPr>
          <w:rFonts w:ascii="方正小标宋简体" w:eastAsia="方正小标宋简体" w:hint="eastAsia"/>
          <w:b/>
          <w:color w:val="000000"/>
          <w:szCs w:val="21"/>
        </w:rPr>
      </w:pPr>
      <w:r w:rsidRPr="005A6D5A">
        <w:rPr>
          <w:rFonts w:ascii="仿宋_GB2312" w:eastAsia="仿宋_GB2312" w:hAnsi="仿宋" w:hint="eastAsia"/>
          <w:sz w:val="28"/>
          <w:szCs w:val="28"/>
        </w:rPr>
        <w:t>鄂教研〔2020〕2</w:t>
      </w:r>
      <w:r w:rsidR="001B05F3">
        <w:rPr>
          <w:rFonts w:ascii="仿宋_GB2312" w:eastAsia="仿宋_GB2312" w:hAnsi="仿宋" w:hint="eastAsia"/>
          <w:sz w:val="28"/>
          <w:szCs w:val="28"/>
        </w:rPr>
        <w:t>号</w:t>
      </w:r>
    </w:p>
    <w:p w:rsidR="00CB47D6" w:rsidRDefault="00CB47D6" w:rsidP="00CB47D6">
      <w:pPr>
        <w:pStyle w:val="a7"/>
        <w:shd w:val="clear" w:color="auto" w:fill="FFFFFF"/>
        <w:spacing w:before="0" w:beforeAutospacing="0" w:after="0" w:afterAutospacing="0"/>
        <w:jc w:val="center"/>
        <w:rPr>
          <w:color w:val="000000"/>
          <w:sz w:val="21"/>
          <w:szCs w:val="21"/>
        </w:rPr>
      </w:pPr>
      <w:r>
        <w:rPr>
          <w:rFonts w:hint="eastAsia"/>
          <w:color w:val="000000"/>
          <w:sz w:val="21"/>
          <w:szCs w:val="21"/>
        </w:rPr>
        <w:t> </w:t>
      </w:r>
    </w:p>
    <w:p w:rsidR="00CB47D6" w:rsidRDefault="00CB47D6" w:rsidP="00CB47D6">
      <w:pPr>
        <w:pStyle w:val="a7"/>
        <w:shd w:val="clear" w:color="auto" w:fill="FFFFFF"/>
        <w:spacing w:before="0" w:beforeAutospacing="0" w:after="0" w:afterAutospacing="0" w:line="600" w:lineRule="atLeast"/>
        <w:jc w:val="center"/>
        <w:rPr>
          <w:color w:val="000000"/>
          <w:sz w:val="21"/>
          <w:szCs w:val="21"/>
        </w:rPr>
      </w:pPr>
      <w:r>
        <w:rPr>
          <w:rFonts w:ascii="黑体" w:eastAsia="黑体" w:hAnsi="黑体" w:hint="eastAsia"/>
          <w:color w:val="000000"/>
          <w:sz w:val="32"/>
          <w:szCs w:val="32"/>
        </w:rPr>
        <w:t>第一章</w:t>
      </w:r>
      <w:r>
        <w:rPr>
          <w:rFonts w:ascii="Calibri" w:eastAsia="黑体" w:hAnsi="Calibri" w:cs="Calibri"/>
          <w:color w:val="000000"/>
          <w:sz w:val="32"/>
          <w:szCs w:val="32"/>
        </w:rPr>
        <w:t> </w:t>
      </w:r>
      <w:r>
        <w:rPr>
          <w:rFonts w:ascii="黑体" w:eastAsia="黑体" w:hAnsi="黑体" w:hint="eastAsia"/>
          <w:color w:val="000000"/>
          <w:sz w:val="32"/>
          <w:szCs w:val="32"/>
        </w:rPr>
        <w:t>总则</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sidRPr="00CB47D6">
        <w:rPr>
          <w:rStyle w:val="a8"/>
          <w:rFonts w:hint="eastAsia"/>
          <w:color w:val="000000"/>
          <w:sz w:val="32"/>
          <w:szCs w:val="32"/>
        </w:rPr>
        <w:t>第一条</w:t>
      </w:r>
      <w:r>
        <w:rPr>
          <w:rFonts w:hint="eastAsia"/>
          <w:color w:val="000000"/>
          <w:sz w:val="32"/>
          <w:szCs w:val="32"/>
        </w:rPr>
        <w:t>  为加强研究生工作站（以下简称“工作站”）建设管理，根据《教育部、国家发</w:t>
      </w:r>
      <w:bookmarkStart w:id="0" w:name="_GoBack"/>
      <w:bookmarkEnd w:id="0"/>
      <w:r>
        <w:rPr>
          <w:rFonts w:hint="eastAsia"/>
          <w:color w:val="000000"/>
          <w:sz w:val="32"/>
          <w:szCs w:val="32"/>
        </w:rPr>
        <w:t>展改革委、财政部关于深化研究生教育改革的意见》《湖北教育现代化2035》《湖北省推进一流大学和一流学科建设实施意见》，制定本办法。</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Style w:val="a8"/>
          <w:rFonts w:hint="eastAsia"/>
          <w:color w:val="000000"/>
          <w:sz w:val="32"/>
          <w:szCs w:val="32"/>
        </w:rPr>
        <w:t>第二条</w:t>
      </w:r>
      <w:r>
        <w:rPr>
          <w:rFonts w:hint="eastAsia"/>
          <w:color w:val="000000"/>
          <w:sz w:val="32"/>
          <w:szCs w:val="32"/>
        </w:rPr>
        <w:t>  工作站是指高校和企事业单位（以下简称“合作单位”）共同建设，设立在合作单位，由高校研究生导师和合作单位兼职导师共同指导研究生开展科学研究和实践、进行产学研合作的重要载体。工作站既是高校联合合作单位共同培养研究生的实践基地，又是合作单位联合高校共同开展科技研发和咨询服务的平台。</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Style w:val="a8"/>
          <w:rFonts w:hint="eastAsia"/>
          <w:color w:val="000000"/>
          <w:sz w:val="32"/>
          <w:szCs w:val="32"/>
        </w:rPr>
        <w:t>第三条</w:t>
      </w:r>
      <w:r>
        <w:rPr>
          <w:rFonts w:hint="eastAsia"/>
          <w:color w:val="000000"/>
          <w:sz w:val="21"/>
          <w:szCs w:val="21"/>
        </w:rPr>
        <w:t>  </w:t>
      </w:r>
      <w:r>
        <w:rPr>
          <w:rFonts w:hint="eastAsia"/>
          <w:color w:val="000000"/>
          <w:sz w:val="32"/>
          <w:szCs w:val="32"/>
        </w:rPr>
        <w:t>工作站建设是推动研究生教育综合改革，创新研究生培养模式，推进产学研用结合，提升研究生实践创新能力，服务湖北经济社会发展的重要举措。</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Style w:val="a8"/>
          <w:rFonts w:hint="eastAsia"/>
          <w:color w:val="000000"/>
          <w:sz w:val="32"/>
          <w:szCs w:val="32"/>
        </w:rPr>
        <w:t>第四条</w:t>
      </w:r>
      <w:r>
        <w:rPr>
          <w:rFonts w:hint="eastAsia"/>
          <w:color w:val="000000"/>
          <w:sz w:val="32"/>
          <w:szCs w:val="32"/>
        </w:rPr>
        <w:t>  工作站建设以产学研用结合为途径，以提升研究生实践创新能力为核心，以培养高水平应用型、复合型、创新型人才为目的，促进产教融合、科教融合，加</w:t>
      </w:r>
      <w:r>
        <w:rPr>
          <w:rFonts w:hint="eastAsia"/>
          <w:color w:val="000000"/>
          <w:sz w:val="32"/>
          <w:szCs w:val="32"/>
        </w:rPr>
        <w:lastRenderedPageBreak/>
        <w:t>速科技成果转化，推动我省高校主动融入经济社会发展主战场。</w:t>
      </w:r>
    </w:p>
    <w:p w:rsidR="00CB47D6" w:rsidRDefault="00CB47D6" w:rsidP="00CB47D6">
      <w:pPr>
        <w:pStyle w:val="a7"/>
        <w:shd w:val="clear" w:color="auto" w:fill="FFFFFF"/>
        <w:spacing w:before="0" w:beforeAutospacing="0" w:after="0" w:afterAutospacing="0" w:line="600" w:lineRule="atLeast"/>
        <w:jc w:val="center"/>
        <w:rPr>
          <w:color w:val="000000"/>
          <w:sz w:val="21"/>
          <w:szCs w:val="21"/>
        </w:rPr>
      </w:pPr>
      <w:r>
        <w:rPr>
          <w:rFonts w:ascii="黑体" w:eastAsia="黑体" w:hAnsi="黑体" w:hint="eastAsia"/>
          <w:color w:val="000000"/>
          <w:sz w:val="32"/>
          <w:szCs w:val="32"/>
        </w:rPr>
        <w:t>第二章</w:t>
      </w:r>
      <w:r>
        <w:rPr>
          <w:rFonts w:ascii="Calibri" w:eastAsia="黑体" w:hAnsi="Calibri" w:cs="Calibri"/>
          <w:color w:val="000000"/>
          <w:sz w:val="32"/>
          <w:szCs w:val="32"/>
        </w:rPr>
        <w:t>  </w:t>
      </w:r>
      <w:r>
        <w:rPr>
          <w:rFonts w:ascii="黑体" w:eastAsia="黑体" w:hAnsi="黑体" w:hint="eastAsia"/>
          <w:color w:val="000000"/>
          <w:sz w:val="32"/>
          <w:szCs w:val="32"/>
        </w:rPr>
        <w:t>申报条件</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sidRPr="00CB47D6">
        <w:rPr>
          <w:rStyle w:val="a8"/>
          <w:rFonts w:hint="eastAsia"/>
          <w:color w:val="000000"/>
          <w:sz w:val="32"/>
          <w:szCs w:val="32"/>
        </w:rPr>
        <w:t>第五条</w:t>
      </w:r>
      <w:r>
        <w:rPr>
          <w:rFonts w:hint="eastAsia"/>
          <w:color w:val="000000"/>
          <w:sz w:val="32"/>
          <w:szCs w:val="32"/>
        </w:rPr>
        <w:t>  高校与合作单位双方条件</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（一）合作双方已建立校级研究生工作站，建站时间满2年且近2年进站培养3个月以上的研究生总数8人以上。</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（二）具有高水平的联合指导队伍；具有良好的联合培养模式和运行机制；具有完善的管理制度和研究生实践考核办法；具有研究生进站后必需的学习、工作和生活条件。</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（三）合作双方具有良好的合作基础和合作计划，近5年联合承担过市（局）级以上纵向科研项目，或已有横向合作项目或合作成果。</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Style w:val="a8"/>
          <w:rFonts w:hint="eastAsia"/>
          <w:color w:val="000000"/>
          <w:sz w:val="32"/>
          <w:szCs w:val="32"/>
        </w:rPr>
        <w:t>第六条</w:t>
      </w:r>
      <w:r>
        <w:rPr>
          <w:rFonts w:hint="eastAsia"/>
          <w:color w:val="000000"/>
          <w:sz w:val="32"/>
          <w:szCs w:val="32"/>
        </w:rPr>
        <w:t>  合作单位条件</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合作单位应具备独立法人资格。</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合作单位为企业的，应具备以下条件：</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（一）具有一定的生产规模，经营状况和发展前景良好，具有技术创新需求或产品研发方向；</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（二）拥有数量充足的相应领域高水平研究生兼职导师，能满足指导研究生科研与实践的相关要求；</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lastRenderedPageBreak/>
        <w:t>（三）具有专门的研究与开发机构，具有一定的工程实验条件。</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合作单位为事业单位的，应具备以下条件：</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（一）合作领域具有创新需求和明确的研究方向；</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（二）拥有数量充足的相应领域高水平研究生兼职导师，能满足指导研究生科研与实践的相关要求；</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（三）具有开展社会调查、数据采集与分析、实验与文献研究、案例分析等功能的科学研究平台。</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Style w:val="a8"/>
          <w:rFonts w:hint="eastAsia"/>
          <w:color w:val="000000"/>
          <w:sz w:val="32"/>
          <w:szCs w:val="32"/>
        </w:rPr>
        <w:t>第七条</w:t>
      </w:r>
      <w:r>
        <w:rPr>
          <w:rFonts w:hint="eastAsia"/>
          <w:color w:val="000000"/>
          <w:sz w:val="32"/>
          <w:szCs w:val="32"/>
        </w:rPr>
        <w:t>  高校条件</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（一）合作学科具有硕士及以上学位授权。</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（二）具有支持本校教师及研究生进站工作实践的相关制度与政策，具有完善的研究生出站考核办法和研究生实践成绩认定办法。</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Style w:val="a8"/>
          <w:rFonts w:hint="eastAsia"/>
          <w:color w:val="000000"/>
          <w:sz w:val="32"/>
          <w:szCs w:val="32"/>
        </w:rPr>
        <w:t>第八条</w:t>
      </w:r>
      <w:r>
        <w:rPr>
          <w:rFonts w:hint="eastAsia"/>
          <w:color w:val="000000"/>
          <w:sz w:val="32"/>
          <w:szCs w:val="32"/>
        </w:rPr>
        <w:t>  优先支持具备以下条件之一的合作单位建立工作站：</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（一）建有院士工作站、博士后科研工作站或博士后创新实践基地。</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（二）具有省级及以上企业重点实验室、工程技术研究中心、企业技术中心、产业技术研究院或人文社科基地等研发平台。</w:t>
      </w:r>
    </w:p>
    <w:p w:rsidR="00CB47D6" w:rsidRDefault="00CB47D6" w:rsidP="00CB47D6">
      <w:pPr>
        <w:pStyle w:val="a7"/>
        <w:shd w:val="clear" w:color="auto" w:fill="FFFFFF"/>
        <w:spacing w:before="0" w:beforeAutospacing="0" w:after="0" w:afterAutospacing="0" w:line="600" w:lineRule="atLeast"/>
        <w:jc w:val="center"/>
        <w:rPr>
          <w:color w:val="000000"/>
          <w:sz w:val="21"/>
          <w:szCs w:val="21"/>
        </w:rPr>
      </w:pPr>
      <w:r>
        <w:rPr>
          <w:rFonts w:ascii="黑体" w:eastAsia="黑体" w:hAnsi="黑体" w:hint="eastAsia"/>
          <w:color w:val="000000"/>
          <w:sz w:val="32"/>
          <w:szCs w:val="32"/>
        </w:rPr>
        <w:t>第三章</w:t>
      </w:r>
      <w:r>
        <w:rPr>
          <w:rFonts w:ascii="Calibri" w:eastAsia="黑体" w:hAnsi="Calibri" w:cs="Calibri"/>
          <w:color w:val="000000"/>
          <w:sz w:val="32"/>
          <w:szCs w:val="32"/>
        </w:rPr>
        <w:t>  </w:t>
      </w:r>
      <w:r>
        <w:rPr>
          <w:rFonts w:ascii="黑体" w:eastAsia="黑体" w:hAnsi="黑体" w:hint="eastAsia"/>
          <w:color w:val="000000"/>
          <w:sz w:val="32"/>
          <w:szCs w:val="32"/>
        </w:rPr>
        <w:t>申报程序及认定办法</w:t>
      </w:r>
    </w:p>
    <w:p w:rsidR="00CB47D6" w:rsidRPr="00CB47D6" w:rsidRDefault="00CB47D6" w:rsidP="00CB47D6">
      <w:pPr>
        <w:pStyle w:val="a7"/>
        <w:shd w:val="clear" w:color="auto" w:fill="FFFFFF"/>
        <w:spacing w:before="0" w:beforeAutospacing="0" w:after="0" w:afterAutospacing="0" w:line="600" w:lineRule="atLeast"/>
        <w:ind w:firstLine="630"/>
        <w:rPr>
          <w:color w:val="000000"/>
          <w:sz w:val="32"/>
          <w:szCs w:val="32"/>
        </w:rPr>
      </w:pPr>
      <w:r w:rsidRPr="00CB47D6">
        <w:rPr>
          <w:rStyle w:val="a8"/>
          <w:rFonts w:hint="eastAsia"/>
          <w:color w:val="000000"/>
          <w:sz w:val="32"/>
          <w:szCs w:val="32"/>
        </w:rPr>
        <w:lastRenderedPageBreak/>
        <w:t>第九条</w:t>
      </w:r>
      <w:r>
        <w:rPr>
          <w:rStyle w:val="a8"/>
          <w:rFonts w:ascii="仿宋_GB2312" w:eastAsia="仿宋_GB2312" w:hint="eastAsia"/>
          <w:color w:val="000000"/>
          <w:sz w:val="32"/>
          <w:szCs w:val="32"/>
        </w:rPr>
        <w:t xml:space="preserve"> </w:t>
      </w:r>
      <w:r>
        <w:rPr>
          <w:rStyle w:val="a8"/>
          <w:rFonts w:ascii="仿宋_GB2312" w:eastAsia="仿宋_GB2312" w:hint="eastAsia"/>
          <w:color w:val="000000"/>
          <w:sz w:val="32"/>
          <w:szCs w:val="32"/>
        </w:rPr>
        <w:t> </w:t>
      </w:r>
      <w:r>
        <w:rPr>
          <w:rFonts w:hint="eastAsia"/>
          <w:color w:val="000000"/>
          <w:sz w:val="32"/>
          <w:szCs w:val="32"/>
        </w:rPr>
        <w:t>本项目从校级研究生工作站中遴选，分年立项、分年建设，五年为一个建设周期，</w:t>
      </w:r>
      <w:r w:rsidRPr="00CB47D6">
        <w:rPr>
          <w:rFonts w:hint="eastAsia"/>
          <w:color w:val="000000"/>
          <w:sz w:val="32"/>
          <w:szCs w:val="32"/>
        </w:rPr>
        <w:t>实行动态管理。</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sidRPr="00CB47D6">
        <w:rPr>
          <w:rStyle w:val="a8"/>
          <w:rFonts w:hint="eastAsia"/>
          <w:color w:val="000000"/>
          <w:sz w:val="32"/>
          <w:szCs w:val="32"/>
        </w:rPr>
        <w:t>第十条</w:t>
      </w:r>
      <w:r>
        <w:rPr>
          <w:rFonts w:hint="eastAsia"/>
          <w:color w:val="000000"/>
          <w:sz w:val="32"/>
          <w:szCs w:val="32"/>
        </w:rPr>
        <w:t>  工作站按照高校和合作单位联合申报、专家评审、省教育厅认定的办法进行遴选。</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（一）发布通知。省教育厅下发年度申报通知，提出申报的具体要求。</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（二）联合申报。高校和合作单位根据申报通知要求联合申报，并填写《湖北省研究生工作站申请表》，报省教育厅。</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（三）专家评审。省教育厅组织专家评审，如有需要，可进行实地考察，形成专家评审意见。</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（四）审核认定。省教育厅根据专家评审意见进行认定，经公示无异议后公布工作站名单。</w:t>
      </w:r>
    </w:p>
    <w:p w:rsidR="00CB47D6" w:rsidRDefault="00CB47D6" w:rsidP="00CB47D6">
      <w:pPr>
        <w:pStyle w:val="a7"/>
        <w:shd w:val="clear" w:color="auto" w:fill="FFFFFF"/>
        <w:spacing w:before="0" w:beforeAutospacing="0" w:after="0" w:afterAutospacing="0" w:line="600" w:lineRule="atLeast"/>
        <w:jc w:val="center"/>
        <w:rPr>
          <w:color w:val="000000"/>
          <w:sz w:val="21"/>
          <w:szCs w:val="21"/>
        </w:rPr>
      </w:pPr>
      <w:r>
        <w:rPr>
          <w:rFonts w:ascii="黑体" w:eastAsia="黑体" w:hAnsi="黑体" w:hint="eastAsia"/>
          <w:color w:val="000000"/>
          <w:sz w:val="32"/>
          <w:szCs w:val="32"/>
        </w:rPr>
        <w:t>第四章</w:t>
      </w:r>
      <w:r>
        <w:rPr>
          <w:rFonts w:ascii="Calibri" w:eastAsia="黑体" w:hAnsi="Calibri" w:cs="Calibri"/>
          <w:color w:val="000000"/>
          <w:sz w:val="32"/>
          <w:szCs w:val="32"/>
        </w:rPr>
        <w:t>  </w:t>
      </w:r>
      <w:r>
        <w:rPr>
          <w:rFonts w:ascii="黑体" w:eastAsia="黑体" w:hAnsi="黑体" w:hint="eastAsia"/>
          <w:color w:val="000000"/>
          <w:sz w:val="32"/>
          <w:szCs w:val="32"/>
        </w:rPr>
        <w:t>组织管理</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Style w:val="a8"/>
          <w:rFonts w:ascii="仿宋_GB2312" w:eastAsia="仿宋_GB2312" w:hint="eastAsia"/>
          <w:color w:val="000000"/>
          <w:sz w:val="32"/>
          <w:szCs w:val="32"/>
        </w:rPr>
        <w:t>第</w:t>
      </w:r>
      <w:r>
        <w:rPr>
          <w:rStyle w:val="a8"/>
          <w:rFonts w:hint="eastAsia"/>
          <w:color w:val="000000"/>
          <w:sz w:val="32"/>
          <w:szCs w:val="32"/>
        </w:rPr>
        <w:t>十一条</w:t>
      </w:r>
      <w:r>
        <w:rPr>
          <w:rFonts w:hint="eastAsia"/>
          <w:color w:val="000000"/>
          <w:sz w:val="32"/>
          <w:szCs w:val="32"/>
        </w:rPr>
        <w:t>  省教育厅职责：</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（一）统筹工作站建设整体规划，制定相关管理制度，指导工作站建设；</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（二）负责工作站的申报评审和认定；</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（三）组织开展工作站建设绩效评价。</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Style w:val="a8"/>
          <w:rFonts w:hint="eastAsia"/>
          <w:color w:val="000000"/>
          <w:sz w:val="32"/>
          <w:szCs w:val="32"/>
        </w:rPr>
        <w:t>第十二条</w:t>
      </w:r>
      <w:r>
        <w:rPr>
          <w:rFonts w:hint="eastAsia"/>
          <w:color w:val="000000"/>
          <w:sz w:val="32"/>
          <w:szCs w:val="32"/>
        </w:rPr>
        <w:t>  承担工作站建设任务的高校和合作单位职责：</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lastRenderedPageBreak/>
        <w:t>（一）签订合作协议，联合成立工作站管理机构，明确责任人，明确合作双方的责任和义务；</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（二）制定工作站建设发展规划和实施方案，明确建设目标和任务;制定工作站运行管理制度，保障工作站运行的必要投入；</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（三）制定合作双方导师和研究生进站工作实践的激励措施，明确合作双方导师职责、联合指导模式和成果归属，加强对联合指导过程和研究生实践过程的考核，保证研究生在站期间的实践学习效果；</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（四）建立科学有效的信息对接机制，加强双方的科研合作和成果转化，促进产学研用深度融合，形成高校、合作单位及研究生多方共赢的良性运作机制。</w:t>
      </w:r>
    </w:p>
    <w:p w:rsidR="00CB47D6" w:rsidRDefault="00CB47D6" w:rsidP="00CB47D6">
      <w:pPr>
        <w:pStyle w:val="a7"/>
        <w:shd w:val="clear" w:color="auto" w:fill="FFFFFF"/>
        <w:spacing w:before="0" w:beforeAutospacing="0" w:after="0" w:afterAutospacing="0" w:line="600" w:lineRule="atLeast"/>
        <w:jc w:val="center"/>
        <w:rPr>
          <w:color w:val="000000"/>
          <w:sz w:val="21"/>
          <w:szCs w:val="21"/>
        </w:rPr>
      </w:pPr>
      <w:r>
        <w:rPr>
          <w:rFonts w:ascii="黑体" w:eastAsia="黑体" w:hAnsi="黑体" w:hint="eastAsia"/>
          <w:color w:val="000000"/>
          <w:sz w:val="32"/>
          <w:szCs w:val="32"/>
        </w:rPr>
        <w:t>第五章</w:t>
      </w:r>
      <w:r>
        <w:rPr>
          <w:rFonts w:ascii="Calibri" w:eastAsia="黑体" w:hAnsi="Calibri" w:cs="Calibri"/>
          <w:color w:val="000000"/>
          <w:sz w:val="32"/>
          <w:szCs w:val="32"/>
        </w:rPr>
        <w:t>  </w:t>
      </w:r>
      <w:r>
        <w:rPr>
          <w:rFonts w:ascii="黑体" w:eastAsia="黑体" w:hAnsi="黑体" w:hint="eastAsia"/>
          <w:color w:val="000000"/>
          <w:sz w:val="32"/>
          <w:szCs w:val="32"/>
        </w:rPr>
        <w:t>资金管理</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sidRPr="00CB47D6">
        <w:rPr>
          <w:rStyle w:val="a8"/>
          <w:rFonts w:hint="eastAsia"/>
          <w:color w:val="000000"/>
          <w:sz w:val="32"/>
          <w:szCs w:val="32"/>
        </w:rPr>
        <w:t>第十三条</w:t>
      </w:r>
      <w:r>
        <w:rPr>
          <w:rFonts w:hint="eastAsia"/>
          <w:color w:val="000000"/>
          <w:sz w:val="32"/>
          <w:szCs w:val="32"/>
        </w:rPr>
        <w:t>  工作站运行经费主要由合作单位承担，省教育厅给予一次性补助经费。鼓励高校给予一定的配套经费。</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Style w:val="a8"/>
          <w:rFonts w:hint="eastAsia"/>
          <w:color w:val="000000"/>
          <w:sz w:val="32"/>
          <w:szCs w:val="32"/>
        </w:rPr>
        <w:t>第十四条  </w:t>
      </w:r>
      <w:r>
        <w:rPr>
          <w:rFonts w:hint="eastAsia"/>
          <w:color w:val="000000"/>
          <w:sz w:val="32"/>
          <w:szCs w:val="32"/>
        </w:rPr>
        <w:t>省教育厅补助经费使用范围：</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（一）进站研究生和导师工作、生活条件改善的基本设施建设。</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Fonts w:hint="eastAsia"/>
          <w:color w:val="000000"/>
          <w:sz w:val="32"/>
          <w:szCs w:val="32"/>
        </w:rPr>
        <w:t>（二）进站研究生和导师开展合作研究或实践课题产生的材料费、测试分析与化验加工费、燃料动力费、资源</w:t>
      </w:r>
      <w:r>
        <w:rPr>
          <w:rFonts w:hint="eastAsia"/>
          <w:color w:val="000000"/>
          <w:sz w:val="32"/>
          <w:szCs w:val="32"/>
        </w:rPr>
        <w:lastRenderedPageBreak/>
        <w:t>购置费、出版和知识产权事务费、差旅和会议费、劳务费和专家咨询费等。</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Style w:val="a8"/>
          <w:rFonts w:hint="eastAsia"/>
          <w:color w:val="000000"/>
          <w:sz w:val="32"/>
          <w:szCs w:val="32"/>
        </w:rPr>
        <w:t>第十五条</w:t>
      </w:r>
      <w:r>
        <w:rPr>
          <w:rFonts w:hint="eastAsia"/>
          <w:color w:val="000000"/>
          <w:sz w:val="32"/>
          <w:szCs w:val="32"/>
        </w:rPr>
        <w:t>  省教育厅补助经费和高校配套经费纳入高校统一预算管理。</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Style w:val="a8"/>
          <w:rFonts w:hint="eastAsia"/>
          <w:color w:val="000000"/>
          <w:sz w:val="32"/>
          <w:szCs w:val="32"/>
        </w:rPr>
        <w:t>第十六条</w:t>
      </w:r>
      <w:r>
        <w:rPr>
          <w:rFonts w:hint="eastAsia"/>
          <w:color w:val="000000"/>
          <w:sz w:val="32"/>
          <w:szCs w:val="32"/>
        </w:rPr>
        <w:t>  省教育厅补助经费和高校配套经费由工作站校方负责人根据财务管理相关规定和本办法审核支出。</w:t>
      </w:r>
    </w:p>
    <w:p w:rsidR="00CB47D6" w:rsidRPr="00CB47D6" w:rsidRDefault="00CB47D6" w:rsidP="00CB47D6">
      <w:pPr>
        <w:pStyle w:val="a7"/>
        <w:shd w:val="clear" w:color="auto" w:fill="FFFFFF"/>
        <w:spacing w:before="0" w:beforeAutospacing="0" w:after="0" w:afterAutospacing="0" w:line="600" w:lineRule="atLeast"/>
        <w:ind w:firstLine="630"/>
        <w:rPr>
          <w:color w:val="000000"/>
          <w:sz w:val="32"/>
          <w:szCs w:val="32"/>
        </w:rPr>
      </w:pPr>
      <w:r>
        <w:rPr>
          <w:rStyle w:val="a8"/>
          <w:rFonts w:hint="eastAsia"/>
          <w:color w:val="000000"/>
          <w:sz w:val="32"/>
          <w:szCs w:val="32"/>
        </w:rPr>
        <w:t>第十七条</w:t>
      </w:r>
      <w:r>
        <w:rPr>
          <w:rFonts w:hint="eastAsia"/>
          <w:color w:val="000000"/>
          <w:sz w:val="21"/>
          <w:szCs w:val="21"/>
        </w:rPr>
        <w:t>  </w:t>
      </w:r>
      <w:r w:rsidRPr="00CB47D6">
        <w:rPr>
          <w:rFonts w:hint="eastAsia"/>
          <w:color w:val="000000"/>
          <w:sz w:val="32"/>
          <w:szCs w:val="32"/>
        </w:rPr>
        <w:t>高校要加强对经费使用的管理，严格执行财务规章制度和会计核算制度，自觉接受监督。</w:t>
      </w:r>
    </w:p>
    <w:p w:rsidR="00CB47D6" w:rsidRDefault="00CB47D6" w:rsidP="00CB47D6">
      <w:pPr>
        <w:pStyle w:val="a7"/>
        <w:shd w:val="clear" w:color="auto" w:fill="FFFFFF"/>
        <w:spacing w:before="0" w:beforeAutospacing="0" w:after="0" w:afterAutospacing="0" w:line="600" w:lineRule="atLeast"/>
        <w:jc w:val="center"/>
        <w:rPr>
          <w:color w:val="000000"/>
          <w:sz w:val="21"/>
          <w:szCs w:val="21"/>
        </w:rPr>
      </w:pPr>
      <w:r>
        <w:rPr>
          <w:rFonts w:ascii="黑体" w:eastAsia="黑体" w:hAnsi="黑体" w:hint="eastAsia"/>
          <w:color w:val="000000"/>
          <w:sz w:val="32"/>
          <w:szCs w:val="32"/>
        </w:rPr>
        <w:t>第六章</w:t>
      </w:r>
      <w:r>
        <w:rPr>
          <w:rFonts w:ascii="Calibri" w:eastAsia="黑体" w:hAnsi="Calibri" w:cs="Calibri"/>
          <w:color w:val="000000"/>
          <w:sz w:val="32"/>
          <w:szCs w:val="32"/>
        </w:rPr>
        <w:t>  </w:t>
      </w:r>
      <w:r>
        <w:rPr>
          <w:rFonts w:ascii="黑体" w:eastAsia="黑体" w:hAnsi="黑体" w:hint="eastAsia"/>
          <w:color w:val="000000"/>
          <w:sz w:val="32"/>
          <w:szCs w:val="32"/>
        </w:rPr>
        <w:t>绩效评价</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Style w:val="a8"/>
          <w:rFonts w:ascii="仿宋_GB2312" w:eastAsia="仿宋_GB2312" w:hint="eastAsia"/>
          <w:color w:val="000000"/>
          <w:sz w:val="32"/>
          <w:szCs w:val="32"/>
        </w:rPr>
        <w:t>第十八条</w:t>
      </w:r>
      <w:r>
        <w:rPr>
          <w:rFonts w:hint="eastAsia"/>
          <w:color w:val="000000"/>
          <w:sz w:val="32"/>
          <w:szCs w:val="32"/>
        </w:rPr>
        <w:t>  根据国家和省教育项目绩效评价管理的相关要求，组织开展工作站绩效评价。评价的主要内容包括项目实施进展情况、资金使用情况和绩效目标完成情况等。</w:t>
      </w:r>
    </w:p>
    <w:p w:rsidR="00CB47D6" w:rsidRDefault="00CB47D6" w:rsidP="00CB47D6">
      <w:pPr>
        <w:pStyle w:val="a7"/>
        <w:shd w:val="clear" w:color="auto" w:fill="FFFFFF"/>
        <w:spacing w:before="0" w:beforeAutospacing="0" w:after="0" w:afterAutospacing="0" w:line="600" w:lineRule="atLeast"/>
        <w:ind w:firstLine="630"/>
        <w:rPr>
          <w:color w:val="000000"/>
          <w:sz w:val="21"/>
          <w:szCs w:val="21"/>
        </w:rPr>
      </w:pPr>
      <w:r>
        <w:rPr>
          <w:rStyle w:val="a8"/>
          <w:rFonts w:hint="eastAsia"/>
          <w:color w:val="000000"/>
          <w:sz w:val="32"/>
          <w:szCs w:val="32"/>
        </w:rPr>
        <w:t>第十九条</w:t>
      </w:r>
      <w:r>
        <w:rPr>
          <w:rFonts w:hint="eastAsia"/>
          <w:color w:val="000000"/>
          <w:sz w:val="32"/>
          <w:szCs w:val="32"/>
        </w:rPr>
        <w:t>  高校和合作单位联合制定工作站建设目标和任务，开展年度绩效自评，形成绩效自评报告并报省教育厅。省教育厅组织开展年度绩效评价，形成绩效评价报告，评价结果作为下一年度工作站申报认定的重要参考因素。</w:t>
      </w:r>
    </w:p>
    <w:p w:rsidR="00CB47D6" w:rsidRDefault="00CB47D6" w:rsidP="00CB47D6">
      <w:pPr>
        <w:pStyle w:val="a7"/>
        <w:shd w:val="clear" w:color="auto" w:fill="FFFFFF"/>
        <w:spacing w:before="0" w:beforeAutospacing="0" w:after="0" w:afterAutospacing="0" w:line="600" w:lineRule="atLeast"/>
        <w:jc w:val="center"/>
        <w:rPr>
          <w:color w:val="000000"/>
          <w:sz w:val="21"/>
          <w:szCs w:val="21"/>
        </w:rPr>
      </w:pPr>
      <w:r>
        <w:rPr>
          <w:rFonts w:ascii="黑体" w:eastAsia="黑体" w:hAnsi="黑体" w:hint="eastAsia"/>
          <w:color w:val="000000"/>
          <w:sz w:val="32"/>
          <w:szCs w:val="32"/>
        </w:rPr>
        <w:t>第七章</w:t>
      </w:r>
      <w:r>
        <w:rPr>
          <w:rFonts w:ascii="Calibri" w:eastAsia="黑体" w:hAnsi="Calibri" w:cs="Calibri"/>
          <w:color w:val="000000"/>
          <w:sz w:val="32"/>
          <w:szCs w:val="32"/>
        </w:rPr>
        <w:t>  </w:t>
      </w:r>
      <w:r>
        <w:rPr>
          <w:rFonts w:ascii="黑体" w:eastAsia="黑体" w:hAnsi="黑体" w:hint="eastAsia"/>
          <w:color w:val="000000"/>
          <w:sz w:val="32"/>
          <w:szCs w:val="32"/>
        </w:rPr>
        <w:t>附</w:t>
      </w:r>
      <w:r>
        <w:rPr>
          <w:rFonts w:ascii="Calibri" w:eastAsia="黑体" w:hAnsi="Calibri" w:cs="Calibri"/>
          <w:color w:val="000000"/>
          <w:sz w:val="32"/>
          <w:szCs w:val="32"/>
        </w:rPr>
        <w:t> </w:t>
      </w:r>
      <w:r>
        <w:rPr>
          <w:rFonts w:ascii="黑体" w:eastAsia="黑体" w:hAnsi="黑体" w:hint="eastAsia"/>
          <w:color w:val="000000"/>
          <w:sz w:val="32"/>
          <w:szCs w:val="32"/>
        </w:rPr>
        <w:t>则</w:t>
      </w:r>
    </w:p>
    <w:p w:rsidR="00CB47D6" w:rsidRPr="00CB47D6" w:rsidRDefault="00CB47D6" w:rsidP="00CB47D6">
      <w:pPr>
        <w:pStyle w:val="a7"/>
        <w:shd w:val="clear" w:color="auto" w:fill="FFFFFF"/>
        <w:spacing w:before="0" w:beforeAutospacing="0" w:after="0" w:afterAutospacing="0" w:line="600" w:lineRule="atLeast"/>
        <w:ind w:firstLine="630"/>
        <w:rPr>
          <w:color w:val="000000"/>
          <w:sz w:val="32"/>
          <w:szCs w:val="32"/>
        </w:rPr>
      </w:pPr>
      <w:r w:rsidRPr="00CB47D6">
        <w:rPr>
          <w:rStyle w:val="a8"/>
          <w:rFonts w:hint="eastAsia"/>
          <w:bCs w:val="0"/>
          <w:color w:val="000000"/>
          <w:sz w:val="32"/>
          <w:szCs w:val="32"/>
        </w:rPr>
        <w:t>第二十条</w:t>
      </w:r>
      <w:r w:rsidRPr="00CB47D6">
        <w:rPr>
          <w:rFonts w:hint="eastAsia"/>
          <w:color w:val="000000"/>
          <w:sz w:val="32"/>
          <w:szCs w:val="32"/>
        </w:rPr>
        <w:t> 本办法自发布之日起施行。</w:t>
      </w:r>
    </w:p>
    <w:p w:rsidR="00A4451F" w:rsidRPr="00CB47D6" w:rsidRDefault="00A4451F"/>
    <w:sectPr w:rsidR="00A4451F" w:rsidRPr="00CB47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6F" w:rsidRDefault="0070306F" w:rsidP="00CB47D6">
      <w:r>
        <w:separator/>
      </w:r>
    </w:p>
  </w:endnote>
  <w:endnote w:type="continuationSeparator" w:id="0">
    <w:p w:rsidR="0070306F" w:rsidRDefault="0070306F" w:rsidP="00CB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6F" w:rsidRDefault="0070306F" w:rsidP="00CB47D6">
      <w:r>
        <w:separator/>
      </w:r>
    </w:p>
  </w:footnote>
  <w:footnote w:type="continuationSeparator" w:id="0">
    <w:p w:rsidR="0070306F" w:rsidRDefault="0070306F" w:rsidP="00CB4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AF"/>
    <w:rsid w:val="00002AAC"/>
    <w:rsid w:val="000763A3"/>
    <w:rsid w:val="001B05F3"/>
    <w:rsid w:val="001F1D98"/>
    <w:rsid w:val="00275E83"/>
    <w:rsid w:val="00334118"/>
    <w:rsid w:val="003659E2"/>
    <w:rsid w:val="0046761C"/>
    <w:rsid w:val="00682EAF"/>
    <w:rsid w:val="0070306F"/>
    <w:rsid w:val="0087356B"/>
    <w:rsid w:val="009A543B"/>
    <w:rsid w:val="00A4451F"/>
    <w:rsid w:val="00B04158"/>
    <w:rsid w:val="00C7438D"/>
    <w:rsid w:val="00CB47D6"/>
    <w:rsid w:val="00CF60A5"/>
    <w:rsid w:val="00F96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9BC74"/>
  <w15:chartTrackingRefBased/>
  <w15:docId w15:val="{BEE09C29-F491-4150-A479-498D4A83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7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47D6"/>
    <w:rPr>
      <w:sz w:val="18"/>
      <w:szCs w:val="18"/>
    </w:rPr>
  </w:style>
  <w:style w:type="paragraph" w:styleId="a5">
    <w:name w:val="footer"/>
    <w:basedOn w:val="a"/>
    <w:link w:val="a6"/>
    <w:uiPriority w:val="99"/>
    <w:unhideWhenUsed/>
    <w:rsid w:val="00CB47D6"/>
    <w:pPr>
      <w:tabs>
        <w:tab w:val="center" w:pos="4153"/>
        <w:tab w:val="right" w:pos="8306"/>
      </w:tabs>
      <w:snapToGrid w:val="0"/>
      <w:jc w:val="left"/>
    </w:pPr>
    <w:rPr>
      <w:sz w:val="18"/>
      <w:szCs w:val="18"/>
    </w:rPr>
  </w:style>
  <w:style w:type="character" w:customStyle="1" w:styleId="a6">
    <w:name w:val="页脚 字符"/>
    <w:basedOn w:val="a0"/>
    <w:link w:val="a5"/>
    <w:uiPriority w:val="99"/>
    <w:rsid w:val="00CB47D6"/>
    <w:rPr>
      <w:sz w:val="18"/>
      <w:szCs w:val="18"/>
    </w:rPr>
  </w:style>
  <w:style w:type="paragraph" w:styleId="a7">
    <w:name w:val="Normal (Web)"/>
    <w:basedOn w:val="a"/>
    <w:uiPriority w:val="99"/>
    <w:semiHidden/>
    <w:unhideWhenUsed/>
    <w:rsid w:val="00CB47D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B4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8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351</Words>
  <Characters>2005</Characters>
  <Application>Microsoft Office Word</Application>
  <DocSecurity>0</DocSecurity>
  <Lines>16</Lines>
  <Paragraphs>4</Paragraphs>
  <ScaleCrop>false</ScaleCrop>
  <Company>Microsoft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熊彬</dc:creator>
  <cp:keywords/>
  <dc:description/>
  <cp:lastModifiedBy>熊彬</cp:lastModifiedBy>
  <cp:revision>7</cp:revision>
  <dcterms:created xsi:type="dcterms:W3CDTF">2021-03-17T00:43:00Z</dcterms:created>
  <dcterms:modified xsi:type="dcterms:W3CDTF">2021-03-17T01:25:00Z</dcterms:modified>
</cp:coreProperties>
</file>