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6758" w14:textId="77777777" w:rsidR="00F019CD" w:rsidRDefault="00F34DF0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附件2：</w:t>
      </w:r>
    </w:p>
    <w:p w14:paraId="4FF4722F" w14:textId="12FFD57C" w:rsidR="00F019CD" w:rsidRDefault="00F34DF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 w:hint="eastAsia"/>
          <w:b/>
          <w:sz w:val="32"/>
          <w:szCs w:val="32"/>
        </w:rPr>
        <w:t>级研究生公共英语课程教学计划</w:t>
      </w:r>
      <w:r w:rsidR="00734A95">
        <w:rPr>
          <w:rFonts w:ascii="Times New Roman" w:hAnsi="Times New Roman" w:cs="Times New Roman" w:hint="eastAsia"/>
          <w:b/>
          <w:sz w:val="32"/>
          <w:szCs w:val="32"/>
        </w:rPr>
        <w:t>（摘录）</w:t>
      </w:r>
    </w:p>
    <w:p w14:paraId="6FCD5F65" w14:textId="77777777" w:rsidR="00F019CD" w:rsidRDefault="00F34DF0">
      <w:pPr>
        <w:spacing w:line="540" w:lineRule="exact"/>
        <w:ind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bookmarkStart w:id="0" w:name="_Hlk55551160"/>
      <w:r>
        <w:rPr>
          <w:rFonts w:ascii="黑体" w:eastAsia="黑体" w:hAnsi="黑体" w:cs="Times New Roman" w:hint="eastAsia"/>
          <w:color w:val="000000"/>
          <w:sz w:val="30"/>
          <w:szCs w:val="30"/>
        </w:rPr>
        <w:t>一、</w:t>
      </w:r>
      <w:r>
        <w:rPr>
          <w:rFonts w:ascii="黑体" w:eastAsia="黑体" w:hAnsi="黑体" w:cs="Times New Roman" w:hint="eastAsia"/>
          <w:color w:val="000000"/>
          <w:sz w:val="30"/>
          <w:szCs w:val="30"/>
        </w:rPr>
        <w:tab/>
        <w:t>非英语专业学术学位硕士研究生英语教学计划</w:t>
      </w:r>
    </w:p>
    <w:bookmarkEnd w:id="0"/>
    <w:p w14:paraId="34D19C3B" w14:textId="09CC9BFB" w:rsidR="00F019CD" w:rsidRDefault="001E73E0" w:rsidP="00AE60A9">
      <w:pPr>
        <w:spacing w:line="50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（一）</w:t>
      </w:r>
      <w:r w:rsidR="00F34DF0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教学目标：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采用以学生为中心的“内容依托式”、“任务型”教学法，加强师生互动。</w:t>
      </w:r>
    </w:p>
    <w:p w14:paraId="686344B2" w14:textId="58F28410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第一学期基于语言技能训练，重点培养学生听、说能力。</w:t>
      </w:r>
    </w:p>
    <w:p w14:paraId="434F4285" w14:textId="2149958C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第二学期重点培养英语综合应用能力和学术能力，即学术英语交流、学术英语写作能力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52B7CAB2" w14:textId="079EF47B" w:rsidR="00F019CD" w:rsidRDefault="00D56907" w:rsidP="00AE60A9">
      <w:pPr>
        <w:spacing w:line="50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（二）</w:t>
      </w:r>
      <w:r w:rsidR="00F34DF0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学期、学分、学时：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分两个学期教学，总学分为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4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学分，总学时为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72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学时。第一学期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28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学时（约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1.5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学分），第二学期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44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学时（约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2.5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学分）。</w:t>
      </w:r>
    </w:p>
    <w:p w14:paraId="6FE7FB75" w14:textId="27CD5EA6" w:rsidR="00F019CD" w:rsidRDefault="00D56907" w:rsidP="00AE60A9">
      <w:pPr>
        <w:spacing w:line="500" w:lineRule="exact"/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（三）</w:t>
      </w:r>
      <w:r w:rsidR="00F34DF0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教学计划</w:t>
      </w:r>
      <w:r w:rsidR="00F34DF0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: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第二学期开设特色课程班，特色课程班的研究生须从特色课程模块中选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门特色课程。</w:t>
      </w:r>
    </w:p>
    <w:p w14:paraId="31A6ADD1" w14:textId="5332CE97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6086108"/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="00D56907">
        <w:rPr>
          <w:rFonts w:ascii="Times New Roman" w:hAnsi="Times New Roman" w:cs="Times New Roman" w:hint="eastAsia"/>
          <w:color w:val="000000"/>
          <w:sz w:val="28"/>
          <w:szCs w:val="28"/>
        </w:rPr>
        <w:t>．</w:t>
      </w:r>
      <w:bookmarkEnd w:id="1"/>
      <w:r>
        <w:rPr>
          <w:rFonts w:ascii="Times New Roman" w:hAnsi="Times New Roman" w:cs="Times New Roman" w:hint="eastAsia"/>
          <w:color w:val="000000"/>
          <w:sz w:val="28"/>
          <w:szCs w:val="28"/>
        </w:rPr>
        <w:t>分班原则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研究生原则上以学院为单位分班教学，分为</w:t>
      </w:r>
      <w:bookmarkStart w:id="2" w:name="_Hlk55547811"/>
      <w:r>
        <w:rPr>
          <w:rFonts w:ascii="Times New Roman" w:hAnsi="Times New Roman" w:cs="Times New Roman" w:hint="eastAsia"/>
          <w:color w:val="000000"/>
          <w:sz w:val="28"/>
          <w:szCs w:val="28"/>
        </w:rPr>
        <w:t>特色课程班</w:t>
      </w:r>
      <w:bookmarkEnd w:id="2"/>
      <w:r>
        <w:rPr>
          <w:rFonts w:ascii="Times New Roman" w:hAnsi="Times New Roman" w:cs="Times New Roman" w:hint="eastAsia"/>
          <w:color w:val="000000"/>
          <w:sz w:val="28"/>
          <w:szCs w:val="28"/>
        </w:rPr>
        <w:t>和</w:t>
      </w:r>
      <w:bookmarkStart w:id="3" w:name="_Hlk55547799"/>
      <w:r>
        <w:rPr>
          <w:rFonts w:ascii="Times New Roman" w:hAnsi="Times New Roman" w:cs="Times New Roman" w:hint="eastAsia"/>
          <w:color w:val="000000"/>
          <w:sz w:val="28"/>
          <w:szCs w:val="28"/>
        </w:rPr>
        <w:t>普通班</w:t>
      </w:r>
      <w:bookmarkEnd w:id="3"/>
      <w:r>
        <w:rPr>
          <w:rFonts w:ascii="Times New Roman" w:hAnsi="Times New Roman" w:cs="Times New Roman" w:hint="eastAsia"/>
          <w:color w:val="000000"/>
          <w:sz w:val="28"/>
          <w:szCs w:val="28"/>
        </w:rPr>
        <w:t>，每个班级人数在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30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人以内。</w:t>
      </w:r>
    </w:p>
    <w:p w14:paraId="6266FD92" w14:textId="43FC2B2C" w:rsidR="00F019CD" w:rsidRPr="00D56907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907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2020</w:t>
      </w:r>
      <w:r w:rsidRPr="00D56907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级研究生拟</w:t>
      </w:r>
      <w:r w:rsidR="00E55D9C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开设</w:t>
      </w:r>
      <w:r w:rsidRPr="00D56907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特色课程所在的院系</w:t>
      </w:r>
      <w:bookmarkStart w:id="4" w:name="_Hlk55548198"/>
      <w:r w:rsidRPr="00D56907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包括</w:t>
      </w:r>
      <w:bookmarkEnd w:id="4"/>
      <w:r w:rsidR="00D94DF0" w:rsidRPr="00D94DF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材料</w:t>
      </w:r>
      <w:bookmarkStart w:id="5" w:name="_Hlk56085398"/>
      <w:r w:rsidR="00D94DF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学院</w:t>
      </w:r>
      <w:bookmarkEnd w:id="5"/>
      <w:r w:rsidR="00D94DF0" w:rsidRPr="00D94DF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、交通学院、汽车学院、机电学院、能动学院、土建学院、信息学院、航运学院、物流学院、理学院、管理学院、经济学院、马克思主义学院</w:t>
      </w:r>
      <w:r w:rsidRPr="00D56907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2277201B" w14:textId="65FFE511" w:rsidR="00E55D9C" w:rsidRDefault="00D56907" w:rsidP="00E55D9C">
      <w:pPr>
        <w:spacing w:line="500" w:lineRule="exact"/>
        <w:ind w:firstLineChars="200" w:firstLine="56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．</w:t>
      </w:r>
      <w:r w:rsidR="008E2EE3" w:rsidRPr="008E2EE3">
        <w:rPr>
          <w:rFonts w:ascii="Times New Roman" w:hAnsi="Times New Roman" w:cs="Times New Roman" w:hint="eastAsia"/>
          <w:color w:val="000000"/>
          <w:sz w:val="28"/>
          <w:szCs w:val="28"/>
        </w:rPr>
        <w:t>特色课程班</w:t>
      </w:r>
      <w:r w:rsidR="008E2EE3">
        <w:rPr>
          <w:rFonts w:ascii="Times New Roman" w:hAnsi="Times New Roman" w:cs="Times New Roman" w:hint="eastAsia"/>
          <w:color w:val="000000"/>
          <w:sz w:val="28"/>
          <w:szCs w:val="28"/>
        </w:rPr>
        <w:t>数量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  <w:r w:rsidR="00F34DF0" w:rsidRPr="00DB06B7">
        <w:rPr>
          <w:rFonts w:ascii="Times New Roman" w:hAnsi="Times New Roman" w:cs="Times New Roman" w:hint="eastAsia"/>
          <w:sz w:val="28"/>
          <w:szCs w:val="28"/>
        </w:rPr>
        <w:t>马区</w:t>
      </w:r>
      <w:r w:rsidR="00F34DF0" w:rsidRPr="00DB06B7">
        <w:rPr>
          <w:rFonts w:ascii="Times New Roman" w:hAnsi="Times New Roman" w:cs="Times New Roman" w:hint="eastAsia"/>
          <w:sz w:val="28"/>
          <w:szCs w:val="28"/>
        </w:rPr>
        <w:t>1</w:t>
      </w:r>
      <w:r w:rsidR="003D5D4F" w:rsidRPr="00DB06B7">
        <w:rPr>
          <w:rFonts w:ascii="Times New Roman" w:hAnsi="Times New Roman" w:cs="Times New Roman"/>
          <w:sz w:val="28"/>
          <w:szCs w:val="28"/>
        </w:rPr>
        <w:t>1</w:t>
      </w:r>
      <w:r w:rsidR="00F34DF0" w:rsidRPr="00DB06B7">
        <w:rPr>
          <w:rFonts w:ascii="Times New Roman" w:hAnsi="Times New Roman" w:cs="Times New Roman" w:hint="eastAsia"/>
          <w:sz w:val="28"/>
          <w:szCs w:val="28"/>
        </w:rPr>
        <w:t>个、余区</w:t>
      </w:r>
      <w:r w:rsidR="00F34DF0" w:rsidRPr="00DB06B7">
        <w:rPr>
          <w:rFonts w:ascii="Times New Roman" w:hAnsi="Times New Roman" w:cs="Times New Roman"/>
          <w:sz w:val="28"/>
          <w:szCs w:val="28"/>
        </w:rPr>
        <w:t>4</w:t>
      </w:r>
      <w:r w:rsidR="00F34DF0" w:rsidRPr="00DB06B7">
        <w:rPr>
          <w:rFonts w:ascii="Times New Roman" w:hAnsi="Times New Roman" w:cs="Times New Roman" w:hint="eastAsia"/>
          <w:sz w:val="28"/>
          <w:szCs w:val="28"/>
        </w:rPr>
        <w:t>个</w:t>
      </w:r>
      <w:r w:rsidR="00F34DF0">
        <w:rPr>
          <w:rFonts w:ascii="Times New Roman" w:hAnsi="Times New Roman" w:cs="Times New Roman" w:hint="eastAsia"/>
          <w:color w:val="7030A0"/>
          <w:sz w:val="28"/>
          <w:szCs w:val="28"/>
        </w:rPr>
        <w:t>。</w:t>
      </w:r>
    </w:p>
    <w:tbl>
      <w:tblPr>
        <w:tblW w:w="5619" w:type="dxa"/>
        <w:jc w:val="center"/>
        <w:tblLook w:val="04A0" w:firstRow="1" w:lastRow="0" w:firstColumn="1" w:lastColumn="0" w:noHBand="0" w:noVBand="1"/>
      </w:tblPr>
      <w:tblGrid>
        <w:gridCol w:w="1252"/>
        <w:gridCol w:w="2925"/>
        <w:gridCol w:w="1442"/>
      </w:tblGrid>
      <w:tr w:rsidR="00AD23A2" w:rsidRPr="00AD23A2" w14:paraId="127C49F8" w14:textId="77777777" w:rsidTr="00734A95">
        <w:trPr>
          <w:trHeight w:val="148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1B2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0CD5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390C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班数</w:t>
            </w:r>
          </w:p>
        </w:tc>
      </w:tr>
      <w:tr w:rsidR="00AD23A2" w:rsidRPr="00AD23A2" w14:paraId="13EAC978" w14:textId="77777777" w:rsidTr="00734A95">
        <w:trPr>
          <w:trHeight w:val="148"/>
          <w:jc w:val="center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62F2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马区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AC11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CCF5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D23A2" w:rsidRPr="00AD23A2" w14:paraId="7CC40246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BAD0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9C92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汽车学院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732C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383AD67E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267A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CAE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830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0959F45F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7FC2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31A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土建学院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DD2D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4B26D559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9F00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F92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572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1C27AFDC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967E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D79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62A9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2F709F8F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42D2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919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管理学院</w:t>
            </w: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+</w:t>
            </w: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4081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0D19F071" w14:textId="77777777" w:rsidTr="00734A95">
        <w:trPr>
          <w:trHeight w:val="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ECD2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ECCA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B336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416534BC" w14:textId="77777777" w:rsidTr="00734A95">
        <w:trPr>
          <w:trHeight w:val="148"/>
          <w:jc w:val="center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E004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余区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BF6F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交通学院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F830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D23A2" w:rsidRPr="00AD23A2" w14:paraId="71DBB1B6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EE55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0B24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633C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D23A2" w:rsidRPr="00AD23A2" w14:paraId="7446DA56" w14:textId="77777777" w:rsidTr="00734A95">
        <w:trPr>
          <w:trHeight w:val="148"/>
          <w:jc w:val="center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86CF" w14:textId="77777777" w:rsidR="00AD23A2" w:rsidRPr="00AD23A2" w:rsidRDefault="00AD23A2" w:rsidP="00AD23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7810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航运学院</w:t>
            </w: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+</w:t>
            </w: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AE84" w14:textId="77777777" w:rsidR="00AD23A2" w:rsidRPr="00AD23A2" w:rsidRDefault="00AD23A2" w:rsidP="00AD23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AD23A2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4CD26F7A" w14:textId="77777777" w:rsidR="00D56907" w:rsidRDefault="00D56907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606526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．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特色课程班</w:t>
      </w:r>
      <w:bookmarkEnd w:id="6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选拔：</w:t>
      </w:r>
    </w:p>
    <w:p w14:paraId="11ADF5F3" w14:textId="57CC13E3" w:rsidR="00F019CD" w:rsidRDefault="00D56907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选拔原则：</w:t>
      </w:r>
      <w:proofErr w:type="gramStart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学硕第一</w:t>
      </w:r>
      <w:proofErr w:type="gramEnd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学期期末考试后，按比例选取成绩优秀的学生参加</w:t>
      </w:r>
      <w:r w:rsidR="008F10CE">
        <w:rPr>
          <w:rFonts w:ascii="Times New Roman" w:hAnsi="Times New Roman" w:cs="Times New Roman" w:hint="eastAsia"/>
          <w:color w:val="000000"/>
          <w:sz w:val="28"/>
          <w:szCs w:val="28"/>
        </w:rPr>
        <w:t>特色课程班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面试。</w:t>
      </w:r>
      <w:r w:rsidR="008F10CE">
        <w:rPr>
          <w:rFonts w:ascii="Times New Roman" w:hAnsi="Times New Roman" w:cs="Times New Roman" w:hint="eastAsia"/>
          <w:color w:val="000000"/>
          <w:sz w:val="28"/>
          <w:szCs w:val="28"/>
        </w:rPr>
        <w:t>特色课程班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面试由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2-3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名教师组成评分组，最终面试成绩为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所有面试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教师成绩的平均值。根据面试成绩，达到规定要求的学生，允许参加</w:t>
      </w:r>
      <w:r w:rsidR="008F10CE">
        <w:rPr>
          <w:rFonts w:ascii="Times New Roman" w:hAnsi="Times New Roman" w:cs="Times New Roman" w:hint="eastAsia"/>
          <w:color w:val="000000"/>
          <w:sz w:val="28"/>
          <w:szCs w:val="28"/>
        </w:rPr>
        <w:t>特色课程班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学习，其他学生参加普通班学习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59C11443" w14:textId="1F15CA7D" w:rsidR="00F019CD" w:rsidRDefault="00D56907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选拔范围：</w:t>
      </w:r>
    </w:p>
    <w:p w14:paraId="5F3335E4" w14:textId="0CB4C852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</w:rPr>
        <w:t>马房山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</w:rPr>
        <w:t>校区</w:t>
      </w:r>
      <w:r>
        <w:rPr>
          <w:rFonts w:ascii="Times New Roman" w:hAnsi="Times New Roman" w:cs="Times New Roman" w:hint="eastAsia"/>
          <w:sz w:val="28"/>
          <w:szCs w:val="28"/>
        </w:rPr>
        <w:t>材料学院、</w:t>
      </w:r>
      <w:r w:rsidR="00E55D9C">
        <w:rPr>
          <w:rFonts w:ascii="Times New Roman" w:hAnsi="Times New Roman" w:cs="Times New Roman" w:hint="eastAsia"/>
          <w:sz w:val="28"/>
          <w:szCs w:val="28"/>
        </w:rPr>
        <w:t>汽车学院、</w:t>
      </w:r>
      <w:r>
        <w:rPr>
          <w:rFonts w:ascii="Times New Roman" w:hAnsi="Times New Roman" w:cs="Times New Roman" w:hint="eastAsia"/>
          <w:sz w:val="28"/>
          <w:szCs w:val="28"/>
        </w:rPr>
        <w:t>机电学院、土建学院、</w:t>
      </w:r>
      <w:r w:rsidR="00E55D9C">
        <w:rPr>
          <w:rFonts w:ascii="Times New Roman" w:hAnsi="Times New Roman" w:cs="Times New Roman" w:hint="eastAsia"/>
          <w:sz w:val="28"/>
          <w:szCs w:val="28"/>
        </w:rPr>
        <w:t>信息学院、理学院、</w:t>
      </w:r>
      <w:r>
        <w:rPr>
          <w:rFonts w:ascii="Times New Roman" w:hAnsi="Times New Roman" w:cs="Times New Roman" w:hint="eastAsia"/>
          <w:sz w:val="28"/>
          <w:szCs w:val="28"/>
        </w:rPr>
        <w:t>管理</w:t>
      </w:r>
      <w:r w:rsidR="00364C01" w:rsidRPr="00364C01">
        <w:rPr>
          <w:rFonts w:ascii="Times New Roman" w:hAnsi="Times New Roman" w:cs="Times New Roman" w:hint="eastAsia"/>
          <w:sz w:val="28"/>
          <w:szCs w:val="28"/>
        </w:rPr>
        <w:t>学院</w:t>
      </w:r>
      <w:r w:rsidR="00364C01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经济学院、马克思主义学院研究生第一学期期末考试英语</w:t>
      </w:r>
      <w:r w:rsidR="00E55D9C">
        <w:rPr>
          <w:rFonts w:ascii="Times New Roman" w:hAnsi="Times New Roman" w:cs="Times New Roman" w:hint="eastAsia"/>
          <w:sz w:val="28"/>
          <w:szCs w:val="28"/>
        </w:rPr>
        <w:t>成绩</w:t>
      </w:r>
      <w:r>
        <w:rPr>
          <w:rFonts w:ascii="Times New Roman" w:hAnsi="Times New Roman" w:cs="Times New Roman" w:hint="eastAsia"/>
          <w:sz w:val="28"/>
          <w:szCs w:val="28"/>
        </w:rPr>
        <w:t>达到</w:t>
      </w:r>
      <w:r w:rsidR="00E55D9C">
        <w:rPr>
          <w:rFonts w:ascii="Times New Roman" w:hAnsi="Times New Roman" w:cs="Times New Roman" w:hint="eastAsia"/>
          <w:sz w:val="28"/>
          <w:szCs w:val="28"/>
        </w:rPr>
        <w:t>特色课程班</w:t>
      </w:r>
      <w:r>
        <w:rPr>
          <w:rFonts w:ascii="Times New Roman" w:hAnsi="Times New Roman" w:cs="Times New Roman" w:hint="eastAsia"/>
          <w:sz w:val="28"/>
          <w:szCs w:val="28"/>
        </w:rPr>
        <w:t>要求的研究生，第二学期参加</w:t>
      </w:r>
      <w:r w:rsidR="008F10CE" w:rsidRPr="008F10CE">
        <w:rPr>
          <w:rFonts w:ascii="Times New Roman" w:hAnsi="Times New Roman" w:cs="Times New Roman" w:hint="eastAsia"/>
          <w:sz w:val="28"/>
          <w:szCs w:val="28"/>
        </w:rPr>
        <w:t>特色课程班</w:t>
      </w:r>
      <w:r>
        <w:rPr>
          <w:rFonts w:ascii="Times New Roman" w:hAnsi="Times New Roman" w:cs="Times New Roman" w:hint="eastAsia"/>
          <w:sz w:val="28"/>
          <w:szCs w:val="28"/>
        </w:rPr>
        <w:t>的学习，其他研究生进普通班学习</w:t>
      </w:r>
      <w:r w:rsidR="00E55D9C">
        <w:rPr>
          <w:rFonts w:ascii="Times New Roman" w:hAnsi="Times New Roman" w:cs="Times New Roman" w:hint="eastAsia"/>
          <w:sz w:val="28"/>
          <w:szCs w:val="28"/>
        </w:rPr>
        <w:t>。</w:t>
      </w:r>
    </w:p>
    <w:p w14:paraId="4AA746B7" w14:textId="19514ED2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余家头校区</w:t>
      </w:r>
      <w:r>
        <w:rPr>
          <w:rFonts w:ascii="Times New Roman" w:eastAsia="宋体" w:hAnsi="Times New Roman" w:cs="Times New Roman" w:hint="eastAsia"/>
          <w:sz w:val="28"/>
          <w:szCs w:val="28"/>
        </w:rPr>
        <w:t>交通学院、能动学院、航运学院、物流学院</w:t>
      </w:r>
      <w:bookmarkStart w:id="7" w:name="_Hlk55548207"/>
      <w:r>
        <w:rPr>
          <w:rFonts w:ascii="Times New Roman" w:eastAsia="宋体" w:hAnsi="Times New Roman" w:cs="Times New Roman" w:hint="eastAsia"/>
          <w:sz w:val="28"/>
          <w:szCs w:val="28"/>
        </w:rPr>
        <w:t>研究生第一学期期末考试英语</w:t>
      </w:r>
      <w:r w:rsidR="00E55D9C" w:rsidRPr="00E55D9C">
        <w:rPr>
          <w:rFonts w:ascii="Times New Roman" w:eastAsia="宋体" w:hAnsi="Times New Roman" w:cs="Times New Roman" w:hint="eastAsia"/>
          <w:sz w:val="28"/>
          <w:szCs w:val="28"/>
        </w:rPr>
        <w:t>成绩达到特色课程班要求</w:t>
      </w:r>
      <w:r>
        <w:rPr>
          <w:rFonts w:ascii="Times New Roman" w:eastAsia="宋体" w:hAnsi="Times New Roman" w:cs="Times New Roman" w:hint="eastAsia"/>
          <w:sz w:val="28"/>
          <w:szCs w:val="28"/>
        </w:rPr>
        <w:t>的研究生，第二学期参加</w:t>
      </w:r>
      <w:r w:rsidR="008F10CE" w:rsidRPr="008F10CE">
        <w:rPr>
          <w:rFonts w:ascii="Times New Roman" w:eastAsia="宋体" w:hAnsi="Times New Roman" w:cs="Times New Roman" w:hint="eastAsia"/>
          <w:sz w:val="28"/>
          <w:szCs w:val="28"/>
        </w:rPr>
        <w:t>特色课程班</w:t>
      </w:r>
      <w:r>
        <w:rPr>
          <w:rFonts w:ascii="Times New Roman" w:eastAsia="宋体" w:hAnsi="Times New Roman" w:cs="Times New Roman" w:hint="eastAsia"/>
          <w:sz w:val="28"/>
          <w:szCs w:val="28"/>
        </w:rPr>
        <w:t>的学习，其他研究生进普通班学习</w:t>
      </w:r>
      <w:bookmarkEnd w:id="7"/>
      <w:r w:rsidR="00E55D9C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0E50C0FC" w14:textId="1A7F0BB4" w:rsidR="00F019CD" w:rsidRDefault="00D56907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特色课程选择范围：</w:t>
      </w:r>
    </w:p>
    <w:p w14:paraId="4B08499B" w14:textId="13647E7C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color w:val="000000"/>
          <w:sz w:val="28"/>
          <w:szCs w:val="28"/>
        </w:rPr>
        <w:t>马房山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</w:rPr>
        <w:t>校区特色课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程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包括</w:t>
      </w:r>
      <w:r w:rsidR="00A71F86" w:rsidRPr="00A71F86">
        <w:rPr>
          <w:rFonts w:ascii="Times New Roman" w:hAnsi="Times New Roman" w:cs="Times New Roman" w:hint="eastAsia"/>
          <w:sz w:val="28"/>
          <w:szCs w:val="28"/>
        </w:rPr>
        <w:t>英美影视欣赏</w:t>
      </w:r>
      <w:r>
        <w:rPr>
          <w:rFonts w:ascii="Times New Roman" w:hAnsi="Times New Roman" w:cs="Times New Roman" w:hint="eastAsia"/>
          <w:sz w:val="28"/>
          <w:szCs w:val="28"/>
        </w:rPr>
        <w:t>、翻译技巧与实践、跨文化交际、学术英语写作、雅思、名剧民品、英语公共演讲、科技英语实训、英文论语选读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17FC92C8" w14:textId="115508C2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余家头校区特色课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程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包括</w:t>
      </w:r>
      <w:r>
        <w:rPr>
          <w:rFonts w:ascii="Times New Roman" w:hAnsi="Times New Roman" w:cs="Times New Roman" w:hint="eastAsia"/>
          <w:sz w:val="28"/>
          <w:szCs w:val="28"/>
        </w:rPr>
        <w:t>学术交流与表达、学术阅读策略、学术情境口语、学术高级视听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0C32B102" w14:textId="063DA650" w:rsidR="00F019CD" w:rsidRDefault="00D56907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开课要求：同一</w:t>
      </w:r>
      <w:r w:rsidR="008F10CE" w:rsidRPr="008F10CE">
        <w:rPr>
          <w:rFonts w:ascii="Times New Roman" w:hAnsi="Times New Roman" w:cs="Times New Roman" w:hint="eastAsia"/>
          <w:color w:val="000000"/>
          <w:sz w:val="28"/>
          <w:szCs w:val="28"/>
        </w:rPr>
        <w:t>特色课程班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开设两门</w:t>
      </w:r>
      <w:bookmarkStart w:id="8" w:name="_Hlk55552038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特色课程</w:t>
      </w:r>
      <w:bookmarkEnd w:id="8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（同一班级内，选课人数较多的课程优先开课），同一学院开设课程相同。</w:t>
      </w:r>
    </w:p>
    <w:p w14:paraId="0FBD481C" w14:textId="0E75A63E" w:rsidR="00F019CD" w:rsidRPr="008F10CE" w:rsidRDefault="00D56907" w:rsidP="00AE60A9">
      <w:pPr>
        <w:spacing w:line="500" w:lineRule="exact"/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_Hlk56000701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（四）</w:t>
      </w:r>
      <w:r w:rsidR="00F34DF0" w:rsidRPr="008F10CE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特色课程具体选课方案：</w:t>
      </w:r>
    </w:p>
    <w:bookmarkEnd w:id="9"/>
    <w:p w14:paraId="6B841E5B" w14:textId="77777777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依据选课学院的学科特点，结合特色课程的教学内容，制定如下的选课方案：</w:t>
      </w:r>
    </w:p>
    <w:p w14:paraId="468D6E23" w14:textId="4F818F57" w:rsidR="00F019CD" w:rsidRDefault="005C0C3F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．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根据学科特色及</w:t>
      </w:r>
      <w:bookmarkStart w:id="10" w:name="_Hlk56065361"/>
      <w:r w:rsidR="008F10CE" w:rsidRPr="008F10CE">
        <w:rPr>
          <w:rFonts w:ascii="Times New Roman" w:hAnsi="Times New Roman" w:cs="Times New Roman" w:hint="eastAsia"/>
          <w:color w:val="000000"/>
          <w:sz w:val="28"/>
          <w:szCs w:val="28"/>
        </w:rPr>
        <w:t>特色课程</w:t>
      </w:r>
      <w:proofErr w:type="gramStart"/>
      <w:r w:rsidR="008F10CE">
        <w:rPr>
          <w:rFonts w:ascii="Times New Roman" w:hAnsi="Times New Roman" w:cs="Times New Roman" w:hint="eastAsia"/>
          <w:color w:val="000000"/>
          <w:sz w:val="28"/>
          <w:szCs w:val="28"/>
        </w:rPr>
        <w:t>班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数量</w:t>
      </w:r>
      <w:bookmarkEnd w:id="10"/>
      <w:proofErr w:type="gramEnd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限制，将学院和特色课程各分为理工类，</w:t>
      </w:r>
      <w:proofErr w:type="gramStart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文史类两大</w:t>
      </w:r>
      <w:proofErr w:type="gramEnd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板块；</w:t>
      </w:r>
    </w:p>
    <w:p w14:paraId="3AC70FE7" w14:textId="5713E14E" w:rsidR="00F019CD" w:rsidRDefault="005C0C3F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0C3F">
        <w:rPr>
          <w:rFonts w:ascii="Times New Roman" w:hAnsi="Times New Roman" w:cs="Times New Roman" w:hint="eastAsia"/>
          <w:color w:val="000000"/>
          <w:sz w:val="28"/>
          <w:szCs w:val="28"/>
        </w:rPr>
        <w:t>．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每位学生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可在特色课程模块中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选择两门特色课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程</w:t>
      </w:r>
      <w:r w:rsidR="00057EC9">
        <w:rPr>
          <w:rFonts w:ascii="Times New Roman" w:hAnsi="Times New Roman" w:cs="Times New Roman" w:hint="eastAsia"/>
          <w:color w:val="000000"/>
          <w:sz w:val="28"/>
          <w:szCs w:val="28"/>
        </w:rPr>
        <w:t>；</w:t>
      </w:r>
    </w:p>
    <w:p w14:paraId="01B9ECEF" w14:textId="75955B6F" w:rsidR="00F019CD" w:rsidRDefault="005C0C3F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．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各学院备选课程分为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A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B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两类，学生分别从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A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类和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B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类课程中任选一门。</w:t>
      </w:r>
    </w:p>
    <w:tbl>
      <w:tblPr>
        <w:tblW w:w="8989" w:type="dxa"/>
        <w:tblInd w:w="250" w:type="dxa"/>
        <w:tblLook w:val="04A0" w:firstRow="1" w:lastRow="0" w:firstColumn="1" w:lastColumn="0" w:noHBand="0" w:noVBand="1"/>
      </w:tblPr>
      <w:tblGrid>
        <w:gridCol w:w="1616"/>
        <w:gridCol w:w="3062"/>
        <w:gridCol w:w="709"/>
        <w:gridCol w:w="3602"/>
      </w:tblGrid>
      <w:tr w:rsidR="00D56907" w:rsidRPr="00D56907" w14:paraId="7E758DD3" w14:textId="77777777" w:rsidTr="00D56907">
        <w:trPr>
          <w:trHeight w:val="9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802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E4E7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308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备选课程</w:t>
            </w:r>
          </w:p>
        </w:tc>
      </w:tr>
      <w:tr w:rsidR="00D56907" w:rsidRPr="00D56907" w14:paraId="4D8C1550" w14:textId="77777777" w:rsidTr="00D56907">
        <w:trPr>
          <w:trHeight w:val="282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ECEC246" w14:textId="5CB8B55C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理工</w:t>
            </w:r>
            <w:r w:rsidR="00734A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  <w:r w:rsidRPr="00D56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E38D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642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A3E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学术英语写作、翻译技巧与实践</w:t>
            </w:r>
          </w:p>
        </w:tc>
      </w:tr>
      <w:tr w:rsidR="00D56907" w:rsidRPr="00D56907" w14:paraId="63174C69" w14:textId="77777777" w:rsidTr="00D56907">
        <w:trPr>
          <w:trHeight w:val="185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8145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A6D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093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476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英语公共演讲、雅思</w:t>
            </w:r>
          </w:p>
        </w:tc>
      </w:tr>
      <w:tr w:rsidR="00D56907" w:rsidRPr="00D56907" w14:paraId="41BBDFE5" w14:textId="77777777" w:rsidTr="00D56907">
        <w:trPr>
          <w:trHeight w:val="282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452B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11C" w14:textId="565E6E2D" w:rsidR="00D56907" w:rsidRPr="00D56907" w:rsidRDefault="00126D33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汽车学院、</w:t>
            </w:r>
            <w:r w:rsidR="00D56907"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机电学院、土建学院、</w:t>
            </w: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信息学院、</w:t>
            </w:r>
            <w:r w:rsidR="00D56907"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BBF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96E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学术英语写作、科技英语实训</w:t>
            </w:r>
          </w:p>
        </w:tc>
      </w:tr>
      <w:tr w:rsidR="00D56907" w:rsidRPr="00D56907" w14:paraId="2C73D66E" w14:textId="77777777" w:rsidTr="00D56907">
        <w:trPr>
          <w:trHeight w:val="279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3359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D166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765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028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雅思、名剧民品、跨文化交际</w:t>
            </w:r>
          </w:p>
        </w:tc>
      </w:tr>
      <w:tr w:rsidR="00D56907" w:rsidRPr="00D56907" w14:paraId="01BC4457" w14:textId="77777777" w:rsidTr="00D56907">
        <w:trPr>
          <w:trHeight w:val="282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00C4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1FE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交通学院、能动学院、航运学院、物流学院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619B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319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学术交流与表达、学术高级视听</w:t>
            </w:r>
          </w:p>
        </w:tc>
      </w:tr>
      <w:tr w:rsidR="00D56907" w:rsidRPr="00D56907" w14:paraId="7593AAD2" w14:textId="77777777" w:rsidTr="00D56907">
        <w:trPr>
          <w:trHeight w:val="101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73A1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BFE8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FEA5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833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学术阅读策略、学术情境口语</w:t>
            </w:r>
          </w:p>
        </w:tc>
      </w:tr>
      <w:tr w:rsidR="00D56907" w:rsidRPr="00D56907" w14:paraId="63A8DBB0" w14:textId="77777777" w:rsidTr="00D56907">
        <w:trPr>
          <w:trHeight w:val="279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0D2284" w14:textId="3B342525" w:rsidR="00D56907" w:rsidRPr="00D56907" w:rsidRDefault="00734A95" w:rsidP="00D56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社科</w:t>
            </w:r>
            <w:r w:rsidR="00D56907" w:rsidRPr="00D56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EE8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管理学院、经济学院、马克思主义学院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2A9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911" w14:textId="77777777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翻译技巧与实践、英语公共演讲</w:t>
            </w:r>
          </w:p>
        </w:tc>
      </w:tr>
      <w:tr w:rsidR="00D56907" w:rsidRPr="00D56907" w14:paraId="0DD601DE" w14:textId="77777777" w:rsidTr="00D56907">
        <w:trPr>
          <w:trHeight w:val="371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D8F6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3008" w14:textId="77777777" w:rsidR="00D56907" w:rsidRPr="00D56907" w:rsidRDefault="00D56907" w:rsidP="00D569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482" w14:textId="77777777" w:rsidR="00D56907" w:rsidRPr="00D56907" w:rsidRDefault="00D56907" w:rsidP="00D5690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B48" w14:textId="1A8781DC" w:rsidR="00D56907" w:rsidRPr="00D56907" w:rsidRDefault="00D56907" w:rsidP="00D56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跨文化交际、名剧民品、</w:t>
            </w:r>
            <w:r w:rsidR="00A71F86" w:rsidRPr="00A71F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英美影视欣赏</w:t>
            </w:r>
            <w:r w:rsidRPr="00D569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、英语论语选读</w:t>
            </w:r>
          </w:p>
        </w:tc>
      </w:tr>
    </w:tbl>
    <w:p w14:paraId="32C70033" w14:textId="08DD9372" w:rsidR="00F019CD" w:rsidRDefault="00D56907" w:rsidP="00AE60A9">
      <w:pPr>
        <w:spacing w:line="50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（五）</w:t>
      </w:r>
      <w:r w:rsidR="00F34DF0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使用教材：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第一学期</w:t>
      </w:r>
      <w:r w:rsidR="00B57CA1">
        <w:rPr>
          <w:rFonts w:ascii="Times New Roman" w:hAnsi="Times New Roman" w:cs="Times New Roman" w:hint="eastAsia"/>
          <w:color w:val="000000"/>
          <w:sz w:val="28"/>
          <w:szCs w:val="28"/>
        </w:rPr>
        <w:t>统一</w:t>
      </w:r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采用武汉理工大学出版社出版的英语教材，统一教学，强化口语实践活动；第二学期分班教学，</w:t>
      </w:r>
      <w:proofErr w:type="gramStart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普通班按普通</w:t>
      </w:r>
      <w:proofErr w:type="gramEnd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班教材统一教学内容和教学进度，特色课程</w:t>
      </w:r>
      <w:proofErr w:type="gramStart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班按特色</w:t>
      </w:r>
      <w:proofErr w:type="gramEnd"/>
      <w:r w:rsidR="00F34DF0">
        <w:rPr>
          <w:rFonts w:ascii="Times New Roman" w:hAnsi="Times New Roman" w:cs="Times New Roman" w:hint="eastAsia"/>
          <w:color w:val="000000"/>
          <w:sz w:val="28"/>
          <w:szCs w:val="28"/>
        </w:rPr>
        <w:t>教材进行教学。</w:t>
      </w:r>
    </w:p>
    <w:p w14:paraId="175F7860" w14:textId="3B42218E" w:rsidR="00F019CD" w:rsidRDefault="00D56907" w:rsidP="00AE60A9">
      <w:pPr>
        <w:spacing w:line="500" w:lineRule="exact"/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（六）</w:t>
      </w:r>
      <w:r w:rsidR="00F34DF0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课程考试和成绩计算：</w:t>
      </w:r>
    </w:p>
    <w:p w14:paraId="4499B82B" w14:textId="77777777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第一学期：</w:t>
      </w:r>
    </w:p>
    <w:p w14:paraId="583B136D" w14:textId="77777777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开展口语水平测试。</w:t>
      </w:r>
      <w:r w:rsidRPr="008F10CE">
        <w:rPr>
          <w:rFonts w:ascii="Times New Roman" w:hAnsi="Times New Roman" w:cs="Times New Roman" w:hint="eastAsia"/>
          <w:color w:val="000000"/>
          <w:sz w:val="28"/>
          <w:szCs w:val="28"/>
        </w:rPr>
        <w:t>同院同执考，</w:t>
      </w:r>
      <w:proofErr w:type="gramStart"/>
      <w:r w:rsidRPr="008F10CE">
        <w:rPr>
          <w:rFonts w:ascii="Times New Roman" w:hAnsi="Times New Roman" w:cs="Times New Roman" w:hint="eastAsia"/>
          <w:color w:val="000000"/>
          <w:sz w:val="28"/>
          <w:szCs w:val="28"/>
        </w:rPr>
        <w:t>执考教师</w:t>
      </w:r>
      <w:proofErr w:type="gramEnd"/>
      <w:r w:rsidRPr="008F10CE">
        <w:rPr>
          <w:rFonts w:ascii="Times New Roman" w:hAnsi="Times New Roman" w:cs="Times New Roman" w:hint="eastAsia"/>
          <w:color w:val="000000"/>
          <w:sz w:val="28"/>
          <w:szCs w:val="28"/>
        </w:rPr>
        <w:t>为非任课教师，口语水平测试全程录音，取消笔试。</w:t>
      </w:r>
    </w:p>
    <w:p w14:paraId="6D651336" w14:textId="7FEC28CA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期终总评成绩包括：口语水平测试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70%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＋平时成绩（出勤率、课堂实践环节评估、作业或在线学习成绩）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30%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，口语考试的时间、地点在课程结束后由研究生院统一安排。</w:t>
      </w:r>
    </w:p>
    <w:p w14:paraId="599EFDEB" w14:textId="77777777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第二学期：</w:t>
      </w:r>
    </w:p>
    <w:p w14:paraId="43801196" w14:textId="77777777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普通班和特色课程班分开进行考核：</w:t>
      </w:r>
    </w:p>
    <w:p w14:paraId="232F92F1" w14:textId="291CCD4B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普通班期终总评成绩包括笔试水平测试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70%+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口语水平测试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20%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（课程结束前一周随堂考）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+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平时成绩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10%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7324ED28" w14:textId="74DCABC5" w:rsidR="00F019CD" w:rsidRPr="00BF1DD5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特色</w:t>
      </w:r>
      <w:r w:rsidR="008F10CE">
        <w:rPr>
          <w:rFonts w:ascii="Times New Roman" w:hAnsi="Times New Roman" w:cs="Times New Roman" w:hint="eastAsia"/>
          <w:color w:val="000000"/>
          <w:sz w:val="28"/>
          <w:szCs w:val="28"/>
        </w:rPr>
        <w:t>课程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班期终总评成绩包括</w:t>
      </w:r>
      <w:r w:rsidR="00BF1DD5">
        <w:rPr>
          <w:rFonts w:ascii="Times New Roman" w:hAnsi="Times New Roman" w:cs="Times New Roman" w:hint="eastAsia"/>
          <w:sz w:val="28"/>
          <w:szCs w:val="28"/>
        </w:rPr>
        <w:t>两</w:t>
      </w:r>
      <w:r w:rsidR="00BF1DD5" w:rsidRPr="00BF1DD5">
        <w:rPr>
          <w:rFonts w:ascii="Times New Roman" w:hAnsi="Times New Roman" w:cs="Times New Roman" w:hint="eastAsia"/>
          <w:sz w:val="28"/>
          <w:szCs w:val="28"/>
        </w:rPr>
        <w:t>门</w:t>
      </w:r>
      <w:r w:rsidR="00BF1DD5">
        <w:rPr>
          <w:rFonts w:ascii="Times New Roman" w:hAnsi="Times New Roman" w:cs="Times New Roman" w:hint="eastAsia"/>
          <w:sz w:val="28"/>
          <w:szCs w:val="28"/>
        </w:rPr>
        <w:t>特色课程成绩（</w:t>
      </w:r>
      <w:r w:rsidR="00BF1DD5" w:rsidRPr="00BF1DD5">
        <w:rPr>
          <w:rFonts w:ascii="Times New Roman" w:hAnsi="Times New Roman" w:cs="Times New Roman" w:hint="eastAsia"/>
          <w:sz w:val="28"/>
          <w:szCs w:val="28"/>
        </w:rPr>
        <w:t>笔试成绩</w:t>
      </w:r>
      <w:r w:rsidRPr="00BF1DD5">
        <w:rPr>
          <w:rFonts w:ascii="Times New Roman" w:hAnsi="Times New Roman" w:cs="Times New Roman" w:hint="eastAsia"/>
          <w:sz w:val="28"/>
          <w:szCs w:val="28"/>
        </w:rPr>
        <w:t>70%+</w:t>
      </w:r>
      <w:r w:rsidRPr="00BF1DD5">
        <w:rPr>
          <w:rFonts w:ascii="Times New Roman" w:hAnsi="Times New Roman" w:cs="Times New Roman" w:hint="eastAsia"/>
          <w:sz w:val="28"/>
          <w:szCs w:val="28"/>
        </w:rPr>
        <w:t>平时成绩</w:t>
      </w:r>
      <w:r w:rsidRPr="00BF1DD5">
        <w:rPr>
          <w:rFonts w:ascii="Times New Roman" w:hAnsi="Times New Roman" w:cs="Times New Roman" w:hint="eastAsia"/>
          <w:sz w:val="28"/>
          <w:szCs w:val="28"/>
        </w:rPr>
        <w:t>30%</w:t>
      </w:r>
      <w:r w:rsidR="00BF1DD5">
        <w:rPr>
          <w:rFonts w:ascii="Times New Roman" w:hAnsi="Times New Roman" w:cs="Times New Roman" w:hint="eastAsia"/>
          <w:sz w:val="28"/>
          <w:szCs w:val="28"/>
        </w:rPr>
        <w:t>）之和，再取平均分</w:t>
      </w:r>
      <w:r w:rsidRPr="00BF1DD5">
        <w:rPr>
          <w:rFonts w:ascii="Times New Roman" w:hAnsi="Times New Roman" w:cs="Times New Roman" w:hint="eastAsia"/>
          <w:sz w:val="28"/>
          <w:szCs w:val="28"/>
        </w:rPr>
        <w:t>。</w:t>
      </w:r>
    </w:p>
    <w:p w14:paraId="6AAB0DEA" w14:textId="44898703" w:rsidR="00F019CD" w:rsidRDefault="00F34DF0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平时成绩评分标准如下：平时成绩总分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分，其中出勤率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%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+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课堂实践评估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%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次</w:t>
      </w:r>
      <w:r>
        <w:rPr>
          <w:rFonts w:ascii="Times New Roman" w:hAnsi="Times New Roman" w:cs="Times New Roman"/>
          <w:color w:val="000000"/>
          <w:sz w:val="28"/>
          <w:szCs w:val="28"/>
        </w:rPr>
        <w:t>presentation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 w:rsidR="00E55D9C">
        <w:rPr>
          <w:rFonts w:ascii="Times New Roman" w:hAnsi="Times New Roman" w:cs="Times New Roman" w:hint="eastAsia"/>
          <w:color w:val="000000"/>
          <w:sz w:val="28"/>
          <w:szCs w:val="28"/>
        </w:rPr>
        <w:t>+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作业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%</w:t>
      </w:r>
      <w:r w:rsidR="005D058B">
        <w:rPr>
          <w:rFonts w:ascii="Times New Roman" w:hAnsi="Times New Roman" w:cs="Times New Roman"/>
          <w:color w:val="000000"/>
          <w:sz w:val="28"/>
          <w:szCs w:val="28"/>
        </w:rPr>
        <w:t>（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－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次</w:t>
      </w:r>
      <w:r>
        <w:rPr>
          <w:rFonts w:ascii="Times New Roman" w:hAnsi="Times New Roman" w:cs="Times New Roman"/>
          <w:color w:val="000000"/>
          <w:sz w:val="28"/>
          <w:szCs w:val="28"/>
        </w:rPr>
        <w:t>paper</w:t>
      </w:r>
      <w:r w:rsidR="005D058B">
        <w:rPr>
          <w:rFonts w:ascii="Times New Roman" w:hAnsi="Times New Roman" w:cs="Times New Roman"/>
          <w:color w:val="000000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3F41C9E9" w14:textId="77777777" w:rsidR="00F019CD" w:rsidRDefault="00F34DF0" w:rsidP="00AE60A9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lastRenderedPageBreak/>
        <w:t>……</w:t>
      </w:r>
    </w:p>
    <w:p w14:paraId="59EBCBCE" w14:textId="77777777" w:rsidR="00F019CD" w:rsidRDefault="00F019CD" w:rsidP="00AE60A9">
      <w:pPr>
        <w:spacing w:line="500" w:lineRule="exact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</w:p>
    <w:p w14:paraId="45F687B6" w14:textId="77777777" w:rsidR="00F019CD" w:rsidRDefault="00F019CD" w:rsidP="00AE60A9">
      <w:pPr>
        <w:spacing w:line="50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11DD9" w14:textId="77777777" w:rsidR="00F019CD" w:rsidRDefault="00F34DF0">
      <w:pPr>
        <w:spacing w:line="540" w:lineRule="exact"/>
        <w:ind w:right="280" w:firstLineChars="200" w:firstLine="5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外国语学院</w:t>
      </w:r>
    </w:p>
    <w:p w14:paraId="14A2C150" w14:textId="77777777" w:rsidR="00F019CD" w:rsidRDefault="00F34DF0">
      <w:pPr>
        <w:spacing w:line="540" w:lineRule="exact"/>
        <w:ind w:firstLineChars="200" w:firstLine="5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2020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</w:p>
    <w:sectPr w:rsidR="00F019CD"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C8F6" w14:textId="77777777" w:rsidR="00057EC9" w:rsidRDefault="00057EC9" w:rsidP="00057EC9">
      <w:r>
        <w:separator/>
      </w:r>
    </w:p>
  </w:endnote>
  <w:endnote w:type="continuationSeparator" w:id="0">
    <w:p w14:paraId="28B643BB" w14:textId="77777777" w:rsidR="00057EC9" w:rsidRDefault="00057EC9" w:rsidP="0005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9F76" w14:textId="77777777" w:rsidR="00057EC9" w:rsidRDefault="00057EC9" w:rsidP="00057EC9">
      <w:r>
        <w:separator/>
      </w:r>
    </w:p>
  </w:footnote>
  <w:footnote w:type="continuationSeparator" w:id="0">
    <w:p w14:paraId="4FDB67C7" w14:textId="77777777" w:rsidR="00057EC9" w:rsidRDefault="00057EC9" w:rsidP="0005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255"/>
    <w:rsid w:val="00020B10"/>
    <w:rsid w:val="00032019"/>
    <w:rsid w:val="000526FD"/>
    <w:rsid w:val="00057EC9"/>
    <w:rsid w:val="00066D53"/>
    <w:rsid w:val="00087A5F"/>
    <w:rsid w:val="00092147"/>
    <w:rsid w:val="00093F3F"/>
    <w:rsid w:val="000A50C6"/>
    <w:rsid w:val="000B12D3"/>
    <w:rsid w:val="000B385B"/>
    <w:rsid w:val="000E758F"/>
    <w:rsid w:val="000F58AF"/>
    <w:rsid w:val="00104BC2"/>
    <w:rsid w:val="001231B7"/>
    <w:rsid w:val="00124255"/>
    <w:rsid w:val="00126D33"/>
    <w:rsid w:val="00143F66"/>
    <w:rsid w:val="001452A0"/>
    <w:rsid w:val="0014640E"/>
    <w:rsid w:val="00153482"/>
    <w:rsid w:val="00155BC6"/>
    <w:rsid w:val="0016137D"/>
    <w:rsid w:val="00172F7A"/>
    <w:rsid w:val="001A20AC"/>
    <w:rsid w:val="001A248E"/>
    <w:rsid w:val="001B0E6E"/>
    <w:rsid w:val="001C5D22"/>
    <w:rsid w:val="001E3159"/>
    <w:rsid w:val="001E57E3"/>
    <w:rsid w:val="001E73E0"/>
    <w:rsid w:val="001F1D6C"/>
    <w:rsid w:val="00212A36"/>
    <w:rsid w:val="00222FD6"/>
    <w:rsid w:val="00236870"/>
    <w:rsid w:val="002548D1"/>
    <w:rsid w:val="00261FCE"/>
    <w:rsid w:val="0026675E"/>
    <w:rsid w:val="0029114E"/>
    <w:rsid w:val="00291D43"/>
    <w:rsid w:val="00297090"/>
    <w:rsid w:val="002C778C"/>
    <w:rsid w:val="002D1085"/>
    <w:rsid w:val="003124E3"/>
    <w:rsid w:val="003307BC"/>
    <w:rsid w:val="003520DF"/>
    <w:rsid w:val="003531CF"/>
    <w:rsid w:val="00364C01"/>
    <w:rsid w:val="003731B5"/>
    <w:rsid w:val="00373EBF"/>
    <w:rsid w:val="0037478E"/>
    <w:rsid w:val="003873EE"/>
    <w:rsid w:val="003B1CFD"/>
    <w:rsid w:val="003C33A2"/>
    <w:rsid w:val="003D5D4F"/>
    <w:rsid w:val="003E57FF"/>
    <w:rsid w:val="003F0764"/>
    <w:rsid w:val="003F2213"/>
    <w:rsid w:val="004042B0"/>
    <w:rsid w:val="00422906"/>
    <w:rsid w:val="004510B6"/>
    <w:rsid w:val="004573B0"/>
    <w:rsid w:val="004645DF"/>
    <w:rsid w:val="004819FA"/>
    <w:rsid w:val="00483833"/>
    <w:rsid w:val="004A6B04"/>
    <w:rsid w:val="004B0429"/>
    <w:rsid w:val="004C384D"/>
    <w:rsid w:val="004C53A6"/>
    <w:rsid w:val="004D000E"/>
    <w:rsid w:val="004E2652"/>
    <w:rsid w:val="004F7F0E"/>
    <w:rsid w:val="005070B8"/>
    <w:rsid w:val="00524A08"/>
    <w:rsid w:val="00535B12"/>
    <w:rsid w:val="00556982"/>
    <w:rsid w:val="00564B0E"/>
    <w:rsid w:val="005737B4"/>
    <w:rsid w:val="00580FEC"/>
    <w:rsid w:val="00583C42"/>
    <w:rsid w:val="005C0C3F"/>
    <w:rsid w:val="005C2D67"/>
    <w:rsid w:val="005D058B"/>
    <w:rsid w:val="005E3008"/>
    <w:rsid w:val="00616A87"/>
    <w:rsid w:val="006221F5"/>
    <w:rsid w:val="006372C0"/>
    <w:rsid w:val="00643D5A"/>
    <w:rsid w:val="006610D2"/>
    <w:rsid w:val="00674E43"/>
    <w:rsid w:val="0067696D"/>
    <w:rsid w:val="006775D7"/>
    <w:rsid w:val="00683ED3"/>
    <w:rsid w:val="00683F96"/>
    <w:rsid w:val="006868B0"/>
    <w:rsid w:val="006873A6"/>
    <w:rsid w:val="00691282"/>
    <w:rsid w:val="0069233B"/>
    <w:rsid w:val="00694B72"/>
    <w:rsid w:val="006A1BA7"/>
    <w:rsid w:val="006B0F96"/>
    <w:rsid w:val="006B6E6D"/>
    <w:rsid w:val="006C27FD"/>
    <w:rsid w:val="006D3FDF"/>
    <w:rsid w:val="006E2B22"/>
    <w:rsid w:val="00726DDF"/>
    <w:rsid w:val="007312B8"/>
    <w:rsid w:val="00734A95"/>
    <w:rsid w:val="00741617"/>
    <w:rsid w:val="00741910"/>
    <w:rsid w:val="007442C2"/>
    <w:rsid w:val="00750AC5"/>
    <w:rsid w:val="007859D9"/>
    <w:rsid w:val="00791B20"/>
    <w:rsid w:val="00792475"/>
    <w:rsid w:val="007A1418"/>
    <w:rsid w:val="007A3B7E"/>
    <w:rsid w:val="007B124C"/>
    <w:rsid w:val="007B4B59"/>
    <w:rsid w:val="007C3111"/>
    <w:rsid w:val="007E462E"/>
    <w:rsid w:val="007F4D86"/>
    <w:rsid w:val="008153C1"/>
    <w:rsid w:val="00822CF2"/>
    <w:rsid w:val="008444B3"/>
    <w:rsid w:val="00860493"/>
    <w:rsid w:val="00873275"/>
    <w:rsid w:val="0089169A"/>
    <w:rsid w:val="00896C21"/>
    <w:rsid w:val="008C070A"/>
    <w:rsid w:val="008D0CE8"/>
    <w:rsid w:val="008D2293"/>
    <w:rsid w:val="008D32DD"/>
    <w:rsid w:val="008E10F2"/>
    <w:rsid w:val="008E2EE3"/>
    <w:rsid w:val="008E3EA8"/>
    <w:rsid w:val="008F10CE"/>
    <w:rsid w:val="00911E93"/>
    <w:rsid w:val="00922F5B"/>
    <w:rsid w:val="009360EA"/>
    <w:rsid w:val="009657F4"/>
    <w:rsid w:val="00967E11"/>
    <w:rsid w:val="009B1D66"/>
    <w:rsid w:val="009C7480"/>
    <w:rsid w:val="009C7AF2"/>
    <w:rsid w:val="009E25AF"/>
    <w:rsid w:val="009F3FB4"/>
    <w:rsid w:val="00A036B0"/>
    <w:rsid w:val="00A03A92"/>
    <w:rsid w:val="00A20984"/>
    <w:rsid w:val="00A210DC"/>
    <w:rsid w:val="00A22102"/>
    <w:rsid w:val="00A3632B"/>
    <w:rsid w:val="00A43492"/>
    <w:rsid w:val="00A609FD"/>
    <w:rsid w:val="00A71F86"/>
    <w:rsid w:val="00A771C7"/>
    <w:rsid w:val="00A83D89"/>
    <w:rsid w:val="00AB7F29"/>
    <w:rsid w:val="00AD23A2"/>
    <w:rsid w:val="00AD3E43"/>
    <w:rsid w:val="00AE60A9"/>
    <w:rsid w:val="00AF6A34"/>
    <w:rsid w:val="00B0348E"/>
    <w:rsid w:val="00B07DFA"/>
    <w:rsid w:val="00B1265E"/>
    <w:rsid w:val="00B134DF"/>
    <w:rsid w:val="00B3051A"/>
    <w:rsid w:val="00B3566B"/>
    <w:rsid w:val="00B57937"/>
    <w:rsid w:val="00B57CA1"/>
    <w:rsid w:val="00B60F0A"/>
    <w:rsid w:val="00B858B0"/>
    <w:rsid w:val="00B94284"/>
    <w:rsid w:val="00BA7043"/>
    <w:rsid w:val="00BB3B91"/>
    <w:rsid w:val="00BB459F"/>
    <w:rsid w:val="00BB53FE"/>
    <w:rsid w:val="00BC3ECA"/>
    <w:rsid w:val="00BD5EA4"/>
    <w:rsid w:val="00BE17FF"/>
    <w:rsid w:val="00BE69A6"/>
    <w:rsid w:val="00BF1DD5"/>
    <w:rsid w:val="00BF3004"/>
    <w:rsid w:val="00C033D0"/>
    <w:rsid w:val="00C212A9"/>
    <w:rsid w:val="00C251E4"/>
    <w:rsid w:val="00C35B28"/>
    <w:rsid w:val="00C40305"/>
    <w:rsid w:val="00C47DD6"/>
    <w:rsid w:val="00C54112"/>
    <w:rsid w:val="00C5496C"/>
    <w:rsid w:val="00C73006"/>
    <w:rsid w:val="00C81632"/>
    <w:rsid w:val="00C8551E"/>
    <w:rsid w:val="00CA7FE3"/>
    <w:rsid w:val="00CF54EC"/>
    <w:rsid w:val="00D15BAF"/>
    <w:rsid w:val="00D17C24"/>
    <w:rsid w:val="00D24D3A"/>
    <w:rsid w:val="00D25CCF"/>
    <w:rsid w:val="00D41C55"/>
    <w:rsid w:val="00D42A2C"/>
    <w:rsid w:val="00D47C65"/>
    <w:rsid w:val="00D50EF6"/>
    <w:rsid w:val="00D56907"/>
    <w:rsid w:val="00D614CD"/>
    <w:rsid w:val="00D8649F"/>
    <w:rsid w:val="00D94DF0"/>
    <w:rsid w:val="00DB06B7"/>
    <w:rsid w:val="00DB1065"/>
    <w:rsid w:val="00DC5243"/>
    <w:rsid w:val="00DD7001"/>
    <w:rsid w:val="00DE5B66"/>
    <w:rsid w:val="00DE63D8"/>
    <w:rsid w:val="00DF1607"/>
    <w:rsid w:val="00E20502"/>
    <w:rsid w:val="00E24DD1"/>
    <w:rsid w:val="00E37D59"/>
    <w:rsid w:val="00E55D9C"/>
    <w:rsid w:val="00E74524"/>
    <w:rsid w:val="00E807F8"/>
    <w:rsid w:val="00E928BD"/>
    <w:rsid w:val="00EB19C5"/>
    <w:rsid w:val="00ED1FEC"/>
    <w:rsid w:val="00EE4EE6"/>
    <w:rsid w:val="00EF1BA7"/>
    <w:rsid w:val="00F019CD"/>
    <w:rsid w:val="00F13B0A"/>
    <w:rsid w:val="00F14407"/>
    <w:rsid w:val="00F245DC"/>
    <w:rsid w:val="00F31BE7"/>
    <w:rsid w:val="00F34DF0"/>
    <w:rsid w:val="00F81BBB"/>
    <w:rsid w:val="00F81D06"/>
    <w:rsid w:val="00F82A87"/>
    <w:rsid w:val="00FA1C4D"/>
    <w:rsid w:val="00FC0485"/>
    <w:rsid w:val="00FD3FF1"/>
    <w:rsid w:val="00FF73DD"/>
    <w:rsid w:val="03301896"/>
    <w:rsid w:val="1BB04889"/>
    <w:rsid w:val="1C572883"/>
    <w:rsid w:val="1F3B264F"/>
    <w:rsid w:val="25267265"/>
    <w:rsid w:val="2A744809"/>
    <w:rsid w:val="34C56129"/>
    <w:rsid w:val="3B6E5F0B"/>
    <w:rsid w:val="40CF563B"/>
    <w:rsid w:val="58623249"/>
    <w:rsid w:val="7C0D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6A6E6"/>
  <w15:docId w15:val="{7193B894-6625-4B16-921D-C47D823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0"/>
    <w:uiPriority w:val="99"/>
    <w:semiHidden/>
    <w:unhideWhenUsed/>
    <w:pPr>
      <w:ind w:firstLineChars="200" w:firstLine="42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Style10">
    <w:name w:val="_Style 10"/>
    <w:basedOn w:val="a3"/>
    <w:next w:val="2"/>
    <w:pPr>
      <w:spacing w:line="240" w:lineRule="atLeast"/>
      <w:ind w:firstLineChars="200" w:firstLine="420"/>
      <w:jc w:val="left"/>
    </w:pPr>
    <w:rPr>
      <w:rFonts w:ascii="宋体" w:eastAsia="宋体" w:hAnsi="Times New Roman" w:cs="Times New Roman"/>
      <w:snapToGrid w:val="0"/>
      <w:kern w:val="0"/>
      <w:sz w:val="20"/>
      <w:szCs w:val="20"/>
    </w:rPr>
  </w:style>
  <w:style w:type="character" w:customStyle="1" w:styleId="a4">
    <w:name w:val="正文文本缩进 字符"/>
    <w:basedOn w:val="a0"/>
    <w:link w:val="a3"/>
    <w:uiPriority w:val="99"/>
    <w:semiHidden/>
  </w:style>
  <w:style w:type="character" w:customStyle="1" w:styleId="20">
    <w:name w:val="正文文本首行缩进 2 字符"/>
    <w:basedOn w:val="a4"/>
    <w:link w:val="2"/>
    <w:uiPriority w:val="99"/>
    <w:semiHidden/>
  </w:style>
  <w:style w:type="character" w:customStyle="1" w:styleId="a6">
    <w:name w:val="日期 字符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288</Words>
  <Characters>1644</Characters>
  <Application>Microsoft Office Word</Application>
  <DocSecurity>0</DocSecurity>
  <Lines>13</Lines>
  <Paragraphs>3</Paragraphs>
  <ScaleCrop>false</ScaleCrop>
  <Company>武汉理工大学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罗熹</dc:creator>
  <cp:lastModifiedBy>罗 熹</cp:lastModifiedBy>
  <cp:revision>191</cp:revision>
  <cp:lastPrinted>2020-11-12T07:31:00Z</cp:lastPrinted>
  <dcterms:created xsi:type="dcterms:W3CDTF">2016-11-15T00:41:00Z</dcterms:created>
  <dcterms:modified xsi:type="dcterms:W3CDTF">2020-11-13T02:20:00Z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