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4A" w:rsidRPr="002E0605" w:rsidRDefault="0037274A" w:rsidP="002E0605">
      <w:pPr>
        <w:jc w:val="center"/>
        <w:rPr>
          <w:rFonts w:ascii="方正小标宋简体" w:eastAsia="方正小标宋简体"/>
          <w:sz w:val="36"/>
          <w:szCs w:val="36"/>
        </w:rPr>
      </w:pPr>
      <w:bookmarkStart w:id="0" w:name="_Toc278215417"/>
      <w:r w:rsidRPr="002E0605">
        <w:rPr>
          <w:rFonts w:ascii="方正小标宋简体" w:eastAsia="方正小标宋简体" w:hint="eastAsia"/>
          <w:sz w:val="36"/>
          <w:szCs w:val="36"/>
        </w:rPr>
        <w:t>武汉理工大学</w:t>
      </w:r>
    </w:p>
    <w:p w:rsidR="0037274A" w:rsidRPr="002E0605" w:rsidRDefault="0037274A" w:rsidP="002E0605">
      <w:pPr>
        <w:jc w:val="center"/>
        <w:rPr>
          <w:rFonts w:ascii="方正小标宋简体" w:eastAsia="方正小标宋简体"/>
          <w:sz w:val="36"/>
          <w:szCs w:val="36"/>
        </w:rPr>
      </w:pPr>
      <w:r w:rsidRPr="002E0605">
        <w:rPr>
          <w:rFonts w:ascii="方正小标宋简体" w:eastAsia="方正小标宋简体" w:hint="eastAsia"/>
          <w:sz w:val="36"/>
          <w:szCs w:val="36"/>
        </w:rPr>
        <w:t>来华留学生奖学金年度评审实施</w:t>
      </w:r>
      <w:bookmarkEnd w:id="0"/>
      <w:r w:rsidRPr="002E0605">
        <w:rPr>
          <w:rFonts w:ascii="方正小标宋简体" w:eastAsia="方正小标宋简体" w:hint="eastAsia"/>
          <w:sz w:val="36"/>
          <w:szCs w:val="36"/>
        </w:rPr>
        <w:t>细则（试行）</w:t>
      </w:r>
    </w:p>
    <w:p w:rsidR="0037274A" w:rsidRPr="00A136C5" w:rsidRDefault="0037274A" w:rsidP="002E0605">
      <w:pPr>
        <w:adjustRightInd w:val="0"/>
        <w:snapToGrid w:val="0"/>
        <w:spacing w:beforeLines="50" w:before="156"/>
        <w:ind w:firstLineChars="200" w:firstLine="640"/>
        <w:rPr>
          <w:rFonts w:ascii="仿宋_GB2312" w:eastAsia="仿宋_GB2312" w:hAnsi="仿宋" w:cs="宋体"/>
          <w:color w:val="000000" w:themeColor="text1"/>
          <w:kern w:val="0"/>
          <w:sz w:val="32"/>
          <w:szCs w:val="32"/>
        </w:rPr>
      </w:pPr>
      <w:r w:rsidRPr="00A136C5">
        <w:rPr>
          <w:rFonts w:ascii="仿宋_GB2312" w:eastAsia="仿宋_GB2312" w:hAnsi="仿宋" w:hint="eastAsia"/>
          <w:color w:val="000000" w:themeColor="text1"/>
          <w:sz w:val="32"/>
          <w:szCs w:val="32"/>
        </w:rPr>
        <w:t>根据国家留学基金管理委员会《中国政府奖学金年度评审办法》和《关于做好202</w:t>
      </w:r>
      <w:r w:rsidR="00A40B38" w:rsidRPr="00A136C5">
        <w:rPr>
          <w:rFonts w:ascii="仿宋_GB2312" w:eastAsia="仿宋_GB2312" w:hAnsi="仿宋" w:hint="eastAsia"/>
          <w:color w:val="000000" w:themeColor="text1"/>
          <w:sz w:val="32"/>
          <w:szCs w:val="32"/>
        </w:rPr>
        <w:t>3</w:t>
      </w:r>
      <w:r w:rsidRPr="00A136C5">
        <w:rPr>
          <w:rFonts w:ascii="仿宋_GB2312" w:eastAsia="仿宋_GB2312" w:hAnsi="仿宋" w:hint="eastAsia"/>
          <w:color w:val="000000" w:themeColor="text1"/>
          <w:sz w:val="32"/>
          <w:szCs w:val="32"/>
        </w:rPr>
        <w:t>学年中国政府奖学金年度评审工作的通知》（留金来管【202</w:t>
      </w:r>
      <w:r w:rsidR="000B039A" w:rsidRPr="00A136C5">
        <w:rPr>
          <w:rFonts w:ascii="仿宋_GB2312" w:eastAsia="仿宋_GB2312" w:hAnsi="仿宋" w:hint="eastAsia"/>
          <w:color w:val="000000" w:themeColor="text1"/>
          <w:sz w:val="32"/>
          <w:szCs w:val="32"/>
        </w:rPr>
        <w:t>3</w:t>
      </w:r>
      <w:r w:rsidRPr="00A136C5">
        <w:rPr>
          <w:rFonts w:ascii="仿宋_GB2312" w:eastAsia="仿宋_GB2312" w:hAnsi="仿宋" w:hint="eastAsia"/>
          <w:color w:val="000000" w:themeColor="text1"/>
          <w:sz w:val="32"/>
          <w:szCs w:val="32"/>
        </w:rPr>
        <w:t>】1</w:t>
      </w:r>
      <w:r w:rsidR="000B039A" w:rsidRPr="00A136C5">
        <w:rPr>
          <w:rFonts w:ascii="仿宋_GB2312" w:eastAsia="仿宋_GB2312" w:hAnsi="仿宋" w:hint="eastAsia"/>
          <w:color w:val="000000" w:themeColor="text1"/>
          <w:sz w:val="32"/>
          <w:szCs w:val="32"/>
        </w:rPr>
        <w:t>6</w:t>
      </w:r>
      <w:r w:rsidRPr="00A136C5">
        <w:rPr>
          <w:rFonts w:ascii="仿宋_GB2312" w:eastAsia="仿宋_GB2312" w:hAnsi="仿宋" w:hint="eastAsia"/>
          <w:color w:val="000000" w:themeColor="text1"/>
          <w:sz w:val="32"/>
          <w:szCs w:val="32"/>
        </w:rPr>
        <w:t>号），结合我校</w:t>
      </w:r>
      <w:r w:rsidR="00C26994" w:rsidRPr="00A136C5">
        <w:rPr>
          <w:rFonts w:ascii="仿宋_GB2312" w:eastAsia="仿宋_GB2312" w:hAnsi="仿宋" w:hint="eastAsia"/>
          <w:color w:val="000000" w:themeColor="text1"/>
          <w:sz w:val="32"/>
          <w:szCs w:val="32"/>
        </w:rPr>
        <w:t>来华留学生</w:t>
      </w:r>
      <w:r w:rsidRPr="00A136C5">
        <w:rPr>
          <w:rFonts w:ascii="仿宋_GB2312" w:eastAsia="仿宋_GB2312" w:hAnsi="仿宋" w:hint="eastAsia"/>
          <w:color w:val="000000" w:themeColor="text1"/>
          <w:sz w:val="32"/>
          <w:szCs w:val="32"/>
        </w:rPr>
        <w:t>相关规定和实际情况，激励来华留学生勤奋学习、积极进取，充分发挥奖学金效益和作用，特制定武汉理工大学中国政府奖学金年度评审</w:t>
      </w:r>
      <w:r w:rsidRPr="00A136C5">
        <w:rPr>
          <w:rFonts w:ascii="仿宋_GB2312" w:eastAsia="仿宋_GB2312" w:hAnsi="仿宋" w:cs="宋体" w:hint="eastAsia"/>
          <w:color w:val="000000" w:themeColor="text1"/>
          <w:kern w:val="0"/>
          <w:sz w:val="32"/>
          <w:szCs w:val="32"/>
        </w:rPr>
        <w:t>实施细则。</w:t>
      </w:r>
    </w:p>
    <w:p w:rsidR="0037274A" w:rsidRPr="00A136C5" w:rsidRDefault="0037274A" w:rsidP="00A136C5">
      <w:pPr>
        <w:adjustRightInd w:val="0"/>
        <w:snapToGrid w:val="0"/>
        <w:ind w:firstLineChars="200" w:firstLine="643"/>
        <w:rPr>
          <w:rFonts w:ascii="仿宋_GB2312" w:eastAsia="仿宋_GB2312" w:hAnsi="宋体" w:cs="宋体"/>
          <w:color w:val="000000" w:themeColor="text1"/>
          <w:sz w:val="32"/>
          <w:szCs w:val="32"/>
        </w:rPr>
      </w:pPr>
      <w:r w:rsidRPr="00A136C5">
        <w:rPr>
          <w:rFonts w:ascii="仿宋_GB2312" w:eastAsia="仿宋_GB2312" w:hAnsi="仿宋" w:cs="宋体" w:hint="eastAsia"/>
          <w:b/>
          <w:bCs/>
          <w:color w:val="000000" w:themeColor="text1"/>
          <w:kern w:val="0"/>
          <w:sz w:val="32"/>
          <w:szCs w:val="32"/>
        </w:rPr>
        <w:t>第一条 参评对象</w:t>
      </w:r>
    </w:p>
    <w:p w:rsidR="0037274A" w:rsidRPr="00A136C5" w:rsidRDefault="0037274A" w:rsidP="00A136C5">
      <w:pPr>
        <w:adjustRightInd w:val="0"/>
        <w:snapToGrid w:val="0"/>
        <w:ind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年度评审对象为享受中国政府全额奖学金或部分奖学金的在籍来华留学生（以下简称奖学金生，含本科生、硕士研究生、博士研究生、普通进修生、高级进修生等）：</w:t>
      </w:r>
    </w:p>
    <w:p w:rsidR="00C26994" w:rsidRPr="00A136C5" w:rsidRDefault="000D5982" w:rsidP="00A136C5">
      <w:pPr>
        <w:numPr>
          <w:ilvl w:val="0"/>
          <w:numId w:val="1"/>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在校学习且</w:t>
      </w:r>
      <w:r w:rsidR="00A40B38" w:rsidRPr="00A136C5">
        <w:rPr>
          <w:rFonts w:ascii="仿宋_GB2312" w:eastAsia="仿宋_GB2312" w:hAnsi="仿宋" w:hint="eastAsia"/>
          <w:color w:val="000000" w:themeColor="text1"/>
          <w:sz w:val="32"/>
          <w:szCs w:val="32"/>
        </w:rPr>
        <w:t>202</w:t>
      </w:r>
      <w:r w:rsidR="007825F5" w:rsidRPr="00A136C5">
        <w:rPr>
          <w:rFonts w:ascii="仿宋_GB2312" w:eastAsia="仿宋_GB2312" w:hAnsi="仿宋" w:hint="eastAsia"/>
          <w:color w:val="000000" w:themeColor="text1"/>
          <w:sz w:val="32"/>
          <w:szCs w:val="32"/>
        </w:rPr>
        <w:t>3</w:t>
      </w:r>
      <w:r w:rsidR="00A40B38" w:rsidRPr="00A136C5">
        <w:rPr>
          <w:rFonts w:ascii="仿宋_GB2312" w:eastAsia="仿宋_GB2312" w:hAnsi="仿宋" w:hint="eastAsia"/>
          <w:color w:val="000000" w:themeColor="text1"/>
          <w:sz w:val="32"/>
          <w:szCs w:val="32"/>
        </w:rPr>
        <w:t>年9月</w:t>
      </w:r>
      <w:r w:rsidRPr="00A136C5">
        <w:rPr>
          <w:rFonts w:ascii="仿宋_GB2312" w:eastAsia="仿宋_GB2312" w:hAnsi="仿宋" w:hint="eastAsia"/>
          <w:color w:val="000000" w:themeColor="text1"/>
          <w:sz w:val="32"/>
          <w:szCs w:val="32"/>
        </w:rPr>
        <w:t>之后将</w:t>
      </w:r>
      <w:r w:rsidR="00A40B38" w:rsidRPr="00A136C5">
        <w:rPr>
          <w:rFonts w:ascii="仿宋_GB2312" w:eastAsia="仿宋_GB2312" w:hAnsi="仿宋" w:hint="eastAsia"/>
          <w:color w:val="000000" w:themeColor="text1"/>
          <w:sz w:val="32"/>
          <w:szCs w:val="32"/>
        </w:rPr>
        <w:t>继续享受中国政府奖学金的学生</w:t>
      </w:r>
      <w:r w:rsidR="0037274A" w:rsidRPr="00A136C5">
        <w:rPr>
          <w:rFonts w:ascii="仿宋_GB2312" w:eastAsia="仿宋_GB2312" w:hAnsi="仿宋" w:hint="eastAsia"/>
          <w:color w:val="000000" w:themeColor="text1"/>
          <w:sz w:val="32"/>
          <w:szCs w:val="32"/>
        </w:rPr>
        <w:t>；</w:t>
      </w:r>
    </w:p>
    <w:p w:rsidR="00C26994" w:rsidRPr="00A136C5" w:rsidRDefault="00232F3F" w:rsidP="00A136C5">
      <w:pPr>
        <w:numPr>
          <w:ilvl w:val="0"/>
          <w:numId w:val="1"/>
        </w:numPr>
        <w:adjustRightInd w:val="0"/>
        <w:snapToGrid w:val="0"/>
        <w:ind w:left="0"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原定2</w:t>
      </w:r>
      <w:r>
        <w:rPr>
          <w:rFonts w:ascii="仿宋_GB2312" w:eastAsia="仿宋_GB2312" w:hAnsi="仿宋"/>
          <w:color w:val="000000" w:themeColor="text1"/>
          <w:sz w:val="32"/>
          <w:szCs w:val="32"/>
        </w:rPr>
        <w:t>023</w:t>
      </w:r>
      <w:r>
        <w:rPr>
          <w:rFonts w:ascii="仿宋_GB2312" w:eastAsia="仿宋_GB2312" w:hAnsi="仿宋" w:hint="eastAsia"/>
          <w:color w:val="000000" w:themeColor="text1"/>
          <w:sz w:val="32"/>
          <w:szCs w:val="32"/>
        </w:rPr>
        <w:t>年7月或2</w:t>
      </w:r>
      <w:r>
        <w:rPr>
          <w:rFonts w:ascii="仿宋_GB2312" w:eastAsia="仿宋_GB2312" w:hAnsi="仿宋"/>
          <w:color w:val="000000" w:themeColor="text1"/>
          <w:sz w:val="32"/>
          <w:szCs w:val="32"/>
        </w:rPr>
        <w:t>024</w:t>
      </w:r>
      <w:r>
        <w:rPr>
          <w:rFonts w:ascii="仿宋_GB2312" w:eastAsia="仿宋_GB2312" w:hAnsi="仿宋" w:hint="eastAsia"/>
          <w:color w:val="000000" w:themeColor="text1"/>
          <w:sz w:val="32"/>
          <w:szCs w:val="32"/>
        </w:rPr>
        <w:t>年1月毕业</w:t>
      </w:r>
      <w:r w:rsidR="00FF6114">
        <w:rPr>
          <w:rFonts w:ascii="仿宋_GB2312" w:eastAsia="仿宋_GB2312" w:hAnsi="仿宋" w:hint="eastAsia"/>
          <w:color w:val="000000" w:themeColor="text1"/>
          <w:sz w:val="32"/>
          <w:szCs w:val="32"/>
        </w:rPr>
        <w:t>但无法按时毕业且</w:t>
      </w:r>
      <w:r w:rsidR="00AD105C" w:rsidRPr="00A136C5">
        <w:rPr>
          <w:rFonts w:ascii="仿宋_GB2312" w:eastAsia="仿宋_GB2312" w:hAnsi="仿宋" w:hint="eastAsia"/>
          <w:color w:val="000000" w:themeColor="text1"/>
          <w:sz w:val="32"/>
          <w:szCs w:val="32"/>
        </w:rPr>
        <w:t>未申请过</w:t>
      </w:r>
      <w:r w:rsidR="0037274A" w:rsidRPr="00A136C5">
        <w:rPr>
          <w:rFonts w:ascii="仿宋_GB2312" w:eastAsia="仿宋_GB2312" w:hAnsi="仿宋" w:hint="eastAsia"/>
          <w:color w:val="000000" w:themeColor="text1"/>
          <w:sz w:val="32"/>
          <w:szCs w:val="32"/>
        </w:rPr>
        <w:t>延长奖学金期限的</w:t>
      </w:r>
      <w:r w:rsidR="00AD105C" w:rsidRPr="00A136C5">
        <w:rPr>
          <w:rFonts w:ascii="仿宋_GB2312" w:eastAsia="仿宋_GB2312" w:hAnsi="仿宋" w:hint="eastAsia"/>
          <w:color w:val="000000" w:themeColor="text1"/>
          <w:sz w:val="32"/>
          <w:szCs w:val="32"/>
        </w:rPr>
        <w:t>博士奖学金</w:t>
      </w:r>
      <w:r w:rsidR="000D5982" w:rsidRPr="00A136C5">
        <w:rPr>
          <w:rFonts w:ascii="仿宋_GB2312" w:eastAsia="仿宋_GB2312" w:hAnsi="仿宋" w:hint="eastAsia"/>
          <w:color w:val="000000" w:themeColor="text1"/>
          <w:sz w:val="32"/>
          <w:szCs w:val="32"/>
        </w:rPr>
        <w:t>学</w:t>
      </w:r>
      <w:r w:rsidR="0037274A" w:rsidRPr="00A136C5">
        <w:rPr>
          <w:rFonts w:ascii="仿宋_GB2312" w:eastAsia="仿宋_GB2312" w:hAnsi="仿宋" w:hint="eastAsia"/>
          <w:color w:val="000000" w:themeColor="text1"/>
          <w:sz w:val="32"/>
          <w:szCs w:val="32"/>
        </w:rPr>
        <w:t>生；</w:t>
      </w:r>
    </w:p>
    <w:p w:rsidR="0037274A" w:rsidRPr="00A136C5" w:rsidRDefault="0037274A" w:rsidP="00A136C5">
      <w:pPr>
        <w:numPr>
          <w:ilvl w:val="0"/>
          <w:numId w:val="1"/>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上学年奖学金评审不合格被中止奖学金资格或减免部分</w:t>
      </w:r>
      <w:r w:rsidR="00D015B1" w:rsidRPr="00A136C5">
        <w:rPr>
          <w:rFonts w:ascii="仿宋_GB2312" w:eastAsia="仿宋_GB2312" w:hAnsi="仿宋" w:cs="宋体" w:hint="eastAsia"/>
          <w:color w:val="000000" w:themeColor="text1"/>
          <w:kern w:val="0"/>
          <w:sz w:val="32"/>
          <w:szCs w:val="32"/>
        </w:rPr>
        <w:t>奖学金的学生。</w:t>
      </w:r>
    </w:p>
    <w:p w:rsidR="0037274A" w:rsidRPr="00A136C5" w:rsidRDefault="0037274A" w:rsidP="00A136C5">
      <w:pPr>
        <w:adjustRightInd w:val="0"/>
        <w:snapToGrid w:val="0"/>
        <w:ind w:leftChars="200" w:left="420"/>
        <w:rPr>
          <w:rFonts w:ascii="仿宋_GB2312" w:eastAsia="仿宋_GB2312" w:hAnsi="仿宋"/>
          <w:b/>
          <w:color w:val="000000" w:themeColor="text1"/>
          <w:sz w:val="32"/>
          <w:szCs w:val="32"/>
        </w:rPr>
      </w:pPr>
      <w:r w:rsidRPr="00A136C5">
        <w:rPr>
          <w:rFonts w:ascii="仿宋_GB2312" w:eastAsia="仿宋_GB2312" w:hAnsi="仿宋" w:cs="宋体" w:hint="eastAsia"/>
          <w:color w:val="000000" w:themeColor="text1"/>
          <w:kern w:val="0"/>
          <w:sz w:val="32"/>
          <w:szCs w:val="32"/>
        </w:rPr>
        <w:t xml:space="preserve"> </w:t>
      </w:r>
      <w:r w:rsidRPr="00A136C5">
        <w:rPr>
          <w:rFonts w:ascii="仿宋_GB2312" w:eastAsia="仿宋_GB2312" w:hAnsi="仿宋" w:cs="宋体" w:hint="eastAsia"/>
          <w:b/>
          <w:color w:val="000000" w:themeColor="text1"/>
          <w:kern w:val="0"/>
          <w:sz w:val="32"/>
          <w:szCs w:val="32"/>
        </w:rPr>
        <w:t>其他情况说明：</w:t>
      </w:r>
    </w:p>
    <w:p w:rsidR="00A40B38" w:rsidRPr="00A136C5" w:rsidRDefault="0037274A" w:rsidP="00A136C5">
      <w:pPr>
        <w:numPr>
          <w:ilvl w:val="0"/>
          <w:numId w:val="7"/>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对因病、因事休学学生不参加该学年年度评审；</w:t>
      </w:r>
    </w:p>
    <w:p w:rsidR="0037274A" w:rsidRPr="00A136C5" w:rsidRDefault="0037274A" w:rsidP="00A136C5">
      <w:pPr>
        <w:numPr>
          <w:ilvl w:val="0"/>
          <w:numId w:val="7"/>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休学学生获准复学者，必须参加年度评审，可根据其休学前和复学后的情况进行年度评审，其休学期不计入已确定的学习年限内；</w:t>
      </w:r>
    </w:p>
    <w:p w:rsidR="0037274A" w:rsidRPr="00A136C5" w:rsidRDefault="0037274A" w:rsidP="00A136C5">
      <w:pPr>
        <w:numPr>
          <w:ilvl w:val="0"/>
          <w:numId w:val="7"/>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需要转出我校学生（包括汉语补习学生），由我校负责对其进行年度评审，并将评审材料和评审决定转到转入学校。</w:t>
      </w:r>
    </w:p>
    <w:p w:rsidR="0037274A" w:rsidRPr="00A136C5" w:rsidRDefault="0037274A" w:rsidP="00A136C5">
      <w:pPr>
        <w:adjustRightInd w:val="0"/>
        <w:snapToGrid w:val="0"/>
        <w:ind w:firstLineChars="200" w:firstLine="643"/>
        <w:rPr>
          <w:rFonts w:ascii="仿宋_GB2312" w:eastAsia="仿宋_GB2312" w:hAnsi="仿宋" w:cs="宋体"/>
          <w:b/>
          <w:bCs/>
          <w:color w:val="000000" w:themeColor="text1"/>
          <w:kern w:val="0"/>
          <w:sz w:val="32"/>
          <w:szCs w:val="32"/>
        </w:rPr>
      </w:pPr>
      <w:r w:rsidRPr="00A136C5">
        <w:rPr>
          <w:rFonts w:ascii="仿宋_GB2312" w:eastAsia="仿宋_GB2312" w:hAnsi="仿宋" w:cs="宋体" w:hint="eastAsia"/>
          <w:b/>
          <w:bCs/>
          <w:color w:val="000000" w:themeColor="text1"/>
          <w:kern w:val="0"/>
          <w:sz w:val="32"/>
          <w:szCs w:val="32"/>
        </w:rPr>
        <w:t>第</w:t>
      </w:r>
      <w:r w:rsidR="000D5982" w:rsidRPr="00A136C5">
        <w:rPr>
          <w:rFonts w:ascii="仿宋_GB2312" w:eastAsia="仿宋_GB2312" w:hAnsi="仿宋" w:cs="宋体" w:hint="eastAsia"/>
          <w:b/>
          <w:bCs/>
          <w:color w:val="000000" w:themeColor="text1"/>
          <w:kern w:val="0"/>
          <w:sz w:val="32"/>
          <w:szCs w:val="32"/>
        </w:rPr>
        <w:t>二</w:t>
      </w:r>
      <w:r w:rsidRPr="00A136C5">
        <w:rPr>
          <w:rFonts w:ascii="仿宋_GB2312" w:eastAsia="仿宋_GB2312" w:hAnsi="仿宋" w:cs="宋体" w:hint="eastAsia"/>
          <w:b/>
          <w:bCs/>
          <w:color w:val="000000" w:themeColor="text1"/>
          <w:kern w:val="0"/>
          <w:sz w:val="32"/>
          <w:szCs w:val="32"/>
        </w:rPr>
        <w:t>条 评审时间及方式</w:t>
      </w:r>
    </w:p>
    <w:p w:rsidR="0037274A" w:rsidRPr="00A136C5" w:rsidRDefault="0037274A" w:rsidP="00A136C5">
      <w:pPr>
        <w:adjustRightInd w:val="0"/>
        <w:snapToGrid w:val="0"/>
        <w:ind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评审时间：在每年4-5月，以国家留学基金委通知的具体时间为准。</w:t>
      </w:r>
    </w:p>
    <w:p w:rsidR="0037274A" w:rsidRPr="00A136C5" w:rsidRDefault="0037274A" w:rsidP="00A136C5">
      <w:pPr>
        <w:adjustRightInd w:val="0"/>
        <w:snapToGrid w:val="0"/>
        <w:ind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评审方式：学生自评与学校</w:t>
      </w:r>
      <w:r w:rsidR="000D5982" w:rsidRPr="00A136C5">
        <w:rPr>
          <w:rFonts w:ascii="仿宋_GB2312" w:eastAsia="仿宋_GB2312" w:hAnsi="仿宋" w:hint="eastAsia"/>
          <w:color w:val="000000" w:themeColor="text1"/>
          <w:sz w:val="32"/>
          <w:szCs w:val="32"/>
        </w:rPr>
        <w:t>专业学院导师、班主任、辅导员</w:t>
      </w:r>
      <w:r w:rsidRPr="00A136C5">
        <w:rPr>
          <w:rFonts w:ascii="仿宋_GB2312" w:eastAsia="仿宋_GB2312" w:hAnsi="仿宋" w:hint="eastAsia"/>
          <w:color w:val="000000" w:themeColor="text1"/>
          <w:sz w:val="32"/>
          <w:szCs w:val="32"/>
        </w:rPr>
        <w:t>评价相结合。</w:t>
      </w:r>
    </w:p>
    <w:p w:rsidR="0037274A" w:rsidRPr="00A136C5" w:rsidRDefault="0037274A" w:rsidP="00A136C5">
      <w:pPr>
        <w:adjustRightInd w:val="0"/>
        <w:snapToGrid w:val="0"/>
        <w:ind w:firstLineChars="200" w:firstLine="643"/>
        <w:rPr>
          <w:rFonts w:ascii="仿宋_GB2312" w:eastAsia="仿宋_GB2312" w:hAnsi="仿宋"/>
          <w:b/>
          <w:bCs/>
          <w:color w:val="000000" w:themeColor="text1"/>
          <w:sz w:val="32"/>
          <w:szCs w:val="32"/>
        </w:rPr>
      </w:pPr>
      <w:r w:rsidRPr="00A136C5">
        <w:rPr>
          <w:rFonts w:ascii="仿宋_GB2312" w:eastAsia="仿宋_GB2312" w:hAnsi="仿宋" w:hint="eastAsia"/>
          <w:b/>
          <w:bCs/>
          <w:color w:val="000000" w:themeColor="text1"/>
          <w:sz w:val="32"/>
          <w:szCs w:val="32"/>
        </w:rPr>
        <w:t>第</w:t>
      </w:r>
      <w:r w:rsidR="000D5982" w:rsidRPr="00A136C5">
        <w:rPr>
          <w:rFonts w:ascii="仿宋_GB2312" w:eastAsia="仿宋_GB2312" w:hAnsi="仿宋" w:hint="eastAsia"/>
          <w:b/>
          <w:bCs/>
          <w:color w:val="000000" w:themeColor="text1"/>
          <w:sz w:val="32"/>
          <w:szCs w:val="32"/>
        </w:rPr>
        <w:t>三</w:t>
      </w:r>
      <w:r w:rsidRPr="00A136C5">
        <w:rPr>
          <w:rFonts w:ascii="仿宋_GB2312" w:eastAsia="仿宋_GB2312" w:hAnsi="仿宋" w:hint="eastAsia"/>
          <w:b/>
          <w:bCs/>
          <w:color w:val="000000" w:themeColor="text1"/>
          <w:sz w:val="32"/>
          <w:szCs w:val="32"/>
        </w:rPr>
        <w:t>条 评审标准与内容</w:t>
      </w:r>
    </w:p>
    <w:p w:rsidR="0037274A" w:rsidRPr="00A136C5" w:rsidRDefault="0037274A" w:rsidP="00A136C5">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lastRenderedPageBreak/>
        <w:t>学生</w:t>
      </w:r>
      <w:r w:rsidR="00EB6001" w:rsidRPr="00A136C5">
        <w:rPr>
          <w:rFonts w:ascii="仿宋_GB2312" w:eastAsia="仿宋_GB2312" w:hAnsi="仿宋" w:hint="eastAsia"/>
          <w:color w:val="000000" w:themeColor="text1"/>
          <w:sz w:val="32"/>
          <w:szCs w:val="32"/>
        </w:rPr>
        <w:t>登录评审</w:t>
      </w:r>
      <w:r w:rsidR="000D5982" w:rsidRPr="00A136C5">
        <w:rPr>
          <w:rFonts w:ascii="仿宋_GB2312" w:eastAsia="仿宋_GB2312" w:hAnsi="仿宋" w:hint="eastAsia"/>
          <w:color w:val="000000" w:themeColor="text1"/>
          <w:sz w:val="32"/>
          <w:szCs w:val="32"/>
        </w:rPr>
        <w:t>系统</w:t>
      </w:r>
      <w:r w:rsidRPr="00A136C5">
        <w:rPr>
          <w:rFonts w:ascii="仿宋_GB2312" w:eastAsia="仿宋_GB2312" w:hAnsi="仿宋" w:hint="eastAsia"/>
          <w:color w:val="000000" w:themeColor="text1"/>
          <w:sz w:val="32"/>
          <w:szCs w:val="32"/>
        </w:rPr>
        <w:t>自评：</w:t>
      </w:r>
      <w:r w:rsidR="00D23001" w:rsidRPr="00A136C5">
        <w:rPr>
          <w:rFonts w:ascii="仿宋_GB2312" w:eastAsia="仿宋_GB2312" w:hAnsi="仿宋" w:hint="eastAsia"/>
          <w:color w:val="000000" w:themeColor="text1"/>
          <w:sz w:val="32"/>
          <w:szCs w:val="32"/>
        </w:rPr>
        <w:t>按照中国政府奖学金来华留学信息管理系统要求，</w:t>
      </w:r>
      <w:r w:rsidRPr="00A136C5">
        <w:rPr>
          <w:rFonts w:ascii="仿宋_GB2312" w:eastAsia="仿宋_GB2312" w:hAnsi="仿宋" w:hint="eastAsia"/>
          <w:color w:val="000000" w:themeColor="text1"/>
          <w:sz w:val="32"/>
          <w:szCs w:val="32"/>
        </w:rPr>
        <w:t>奖学金生从</w:t>
      </w:r>
      <w:r w:rsidR="00D23001" w:rsidRPr="00A136C5">
        <w:rPr>
          <w:rFonts w:ascii="仿宋_GB2312" w:eastAsia="仿宋_GB2312" w:hAnsi="仿宋" w:hint="eastAsia"/>
          <w:color w:val="000000" w:themeColor="text1"/>
          <w:sz w:val="32"/>
          <w:szCs w:val="32"/>
        </w:rPr>
        <w:t>遵规守纪</w:t>
      </w:r>
      <w:r w:rsidR="00ED74DB" w:rsidRPr="00A136C5">
        <w:rPr>
          <w:rFonts w:ascii="仿宋_GB2312" w:eastAsia="仿宋_GB2312" w:hAnsi="仿宋" w:hint="eastAsia"/>
          <w:color w:val="000000" w:themeColor="text1"/>
          <w:sz w:val="32"/>
          <w:szCs w:val="32"/>
        </w:rPr>
        <w:t>、学习</w:t>
      </w:r>
      <w:r w:rsidR="00D23001" w:rsidRPr="00A136C5">
        <w:rPr>
          <w:rFonts w:ascii="仿宋_GB2312" w:eastAsia="仿宋_GB2312" w:hAnsi="仿宋" w:hint="eastAsia"/>
          <w:color w:val="000000" w:themeColor="text1"/>
          <w:sz w:val="32"/>
          <w:szCs w:val="32"/>
        </w:rPr>
        <w:t>情况</w:t>
      </w:r>
      <w:r w:rsidRPr="00A136C5">
        <w:rPr>
          <w:rFonts w:ascii="仿宋_GB2312" w:eastAsia="仿宋_GB2312" w:hAnsi="仿宋" w:hint="eastAsia"/>
          <w:color w:val="000000" w:themeColor="text1"/>
          <w:sz w:val="32"/>
          <w:szCs w:val="32"/>
        </w:rPr>
        <w:t>和参加活动情况</w:t>
      </w:r>
      <w:r w:rsidR="00ED74DB" w:rsidRPr="00A136C5">
        <w:rPr>
          <w:rFonts w:ascii="仿宋_GB2312" w:eastAsia="仿宋_GB2312" w:hAnsi="仿宋" w:hint="eastAsia"/>
          <w:color w:val="000000" w:themeColor="text1"/>
          <w:sz w:val="32"/>
          <w:szCs w:val="32"/>
        </w:rPr>
        <w:t>等</w:t>
      </w:r>
      <w:r w:rsidRPr="00A136C5">
        <w:rPr>
          <w:rFonts w:ascii="仿宋_GB2312" w:eastAsia="仿宋_GB2312" w:hAnsi="仿宋" w:hint="eastAsia"/>
          <w:color w:val="000000" w:themeColor="text1"/>
          <w:sz w:val="32"/>
          <w:szCs w:val="32"/>
        </w:rPr>
        <w:t>方面进行</w:t>
      </w:r>
      <w:r w:rsidR="000D5982" w:rsidRPr="00A136C5">
        <w:rPr>
          <w:rFonts w:ascii="仿宋_GB2312" w:eastAsia="仿宋_GB2312" w:hAnsi="仿宋" w:hint="eastAsia"/>
          <w:color w:val="000000" w:themeColor="text1"/>
          <w:sz w:val="32"/>
          <w:szCs w:val="32"/>
        </w:rPr>
        <w:t>自我</w:t>
      </w:r>
      <w:r w:rsidRPr="00A136C5">
        <w:rPr>
          <w:rFonts w:ascii="仿宋_GB2312" w:eastAsia="仿宋_GB2312" w:hAnsi="仿宋" w:hint="eastAsia"/>
          <w:color w:val="000000" w:themeColor="text1"/>
          <w:sz w:val="32"/>
          <w:szCs w:val="32"/>
        </w:rPr>
        <w:t>定性评价；</w:t>
      </w:r>
    </w:p>
    <w:p w:rsidR="0037274A" w:rsidRPr="00A136C5" w:rsidRDefault="00ED74DB" w:rsidP="00A136C5">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导师、班主任及辅导员</w:t>
      </w:r>
      <w:r w:rsidR="00EB6001" w:rsidRPr="00A136C5">
        <w:rPr>
          <w:rFonts w:ascii="仿宋_GB2312" w:eastAsia="仿宋_GB2312" w:hAnsi="仿宋" w:hint="eastAsia"/>
          <w:color w:val="000000" w:themeColor="text1"/>
          <w:sz w:val="32"/>
          <w:szCs w:val="32"/>
        </w:rPr>
        <w:t>登录评审</w:t>
      </w:r>
      <w:r w:rsidR="000D5982" w:rsidRPr="00A136C5">
        <w:rPr>
          <w:rFonts w:ascii="仿宋_GB2312" w:eastAsia="仿宋_GB2312" w:hAnsi="仿宋" w:hint="eastAsia"/>
          <w:color w:val="000000" w:themeColor="text1"/>
          <w:sz w:val="32"/>
          <w:szCs w:val="32"/>
        </w:rPr>
        <w:t>系统</w:t>
      </w:r>
      <w:r w:rsidR="0037274A" w:rsidRPr="00A136C5">
        <w:rPr>
          <w:rFonts w:ascii="仿宋_GB2312" w:eastAsia="仿宋_GB2312" w:hAnsi="仿宋" w:hint="eastAsia"/>
          <w:color w:val="000000" w:themeColor="text1"/>
          <w:sz w:val="32"/>
          <w:szCs w:val="32"/>
        </w:rPr>
        <w:t>评价：</w:t>
      </w:r>
      <w:r w:rsidR="00D23001" w:rsidRPr="00A136C5">
        <w:rPr>
          <w:rFonts w:ascii="仿宋_GB2312" w:eastAsia="仿宋_GB2312" w:hAnsi="仿宋" w:hint="eastAsia"/>
          <w:color w:val="000000" w:themeColor="text1"/>
          <w:sz w:val="32"/>
          <w:szCs w:val="32"/>
        </w:rPr>
        <w:t>按照中国政府奖学金来华留学信息管理系统要求，</w:t>
      </w:r>
      <w:r w:rsidR="0037274A" w:rsidRPr="00A136C5">
        <w:rPr>
          <w:rFonts w:ascii="仿宋_GB2312" w:eastAsia="仿宋_GB2312" w:hAnsi="仿宋" w:hint="eastAsia"/>
          <w:color w:val="000000" w:themeColor="text1"/>
          <w:sz w:val="32"/>
          <w:szCs w:val="32"/>
        </w:rPr>
        <w:t>专业学院及培养单位</w:t>
      </w:r>
      <w:r w:rsidR="00BF196D" w:rsidRPr="00A136C5">
        <w:rPr>
          <w:rFonts w:ascii="仿宋_GB2312" w:eastAsia="仿宋_GB2312" w:hAnsi="仿宋" w:hint="eastAsia"/>
          <w:color w:val="000000" w:themeColor="text1"/>
          <w:sz w:val="32"/>
          <w:szCs w:val="32"/>
        </w:rPr>
        <w:t>的</w:t>
      </w:r>
      <w:r w:rsidRPr="00A136C5">
        <w:rPr>
          <w:rFonts w:ascii="仿宋_GB2312" w:eastAsia="仿宋_GB2312" w:hAnsi="仿宋" w:hint="eastAsia"/>
          <w:color w:val="000000" w:themeColor="text1"/>
          <w:sz w:val="32"/>
          <w:szCs w:val="32"/>
        </w:rPr>
        <w:t>导师、班主任及辅导员</w:t>
      </w:r>
      <w:r w:rsidR="0037274A" w:rsidRPr="00A136C5">
        <w:rPr>
          <w:rFonts w:ascii="仿宋_GB2312" w:eastAsia="仿宋_GB2312" w:hAnsi="仿宋" w:hint="eastAsia"/>
          <w:color w:val="000000" w:themeColor="text1"/>
          <w:sz w:val="32"/>
          <w:szCs w:val="32"/>
        </w:rPr>
        <w:t>对学生道德品行、学习成绩、学习/科研态度和活动表现对学生进行定性与定量评价；</w:t>
      </w:r>
    </w:p>
    <w:p w:rsidR="0037274A" w:rsidRPr="00A136C5" w:rsidRDefault="0037274A" w:rsidP="00A136C5">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综合评定：留学生教育管理中心结合学生自评和专业学院及培养单位</w:t>
      </w:r>
      <w:r w:rsidR="000D5982" w:rsidRPr="00A136C5">
        <w:rPr>
          <w:rFonts w:ascii="仿宋_GB2312" w:eastAsia="仿宋_GB2312" w:hAnsi="仿宋" w:hint="eastAsia"/>
          <w:color w:val="000000" w:themeColor="text1"/>
          <w:sz w:val="32"/>
          <w:szCs w:val="32"/>
        </w:rPr>
        <w:t>的导师、班主任及辅导员</w:t>
      </w:r>
      <w:r w:rsidRPr="00A136C5">
        <w:rPr>
          <w:rFonts w:ascii="仿宋_GB2312" w:eastAsia="仿宋_GB2312" w:hAnsi="仿宋" w:hint="eastAsia"/>
          <w:color w:val="000000" w:themeColor="text1"/>
          <w:sz w:val="32"/>
          <w:szCs w:val="32"/>
        </w:rPr>
        <w:t>评审意见进行综合评定，给出最终处理意见；</w:t>
      </w:r>
    </w:p>
    <w:p w:rsidR="003138FA" w:rsidRDefault="0037274A" w:rsidP="003138FA">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定量评分设定评分表，原则上60分及以上为合格，具体评定标准如下表。</w:t>
      </w:r>
    </w:p>
    <w:p w:rsidR="003138FA" w:rsidRPr="003138FA" w:rsidRDefault="003138FA" w:rsidP="003138FA">
      <w:pPr>
        <w:adjustRightInd w:val="0"/>
        <w:snapToGrid w:val="0"/>
        <w:jc w:val="center"/>
        <w:rPr>
          <w:rFonts w:ascii="仿宋_GB2312" w:eastAsia="仿宋_GB2312" w:hAnsi="仿宋"/>
          <w:b/>
          <w:color w:val="000000" w:themeColor="text1"/>
          <w:sz w:val="28"/>
          <w:szCs w:val="32"/>
        </w:rPr>
      </w:pPr>
      <w:r w:rsidRPr="003138FA">
        <w:rPr>
          <w:rFonts w:ascii="仿宋_GB2312" w:eastAsia="仿宋_GB2312" w:hAnsi="仿宋" w:hint="eastAsia"/>
          <w:b/>
          <w:color w:val="000000" w:themeColor="text1"/>
          <w:sz w:val="28"/>
          <w:szCs w:val="32"/>
        </w:rPr>
        <w:t>年度评审评分表</w:t>
      </w:r>
    </w:p>
    <w:tbl>
      <w:tblPr>
        <w:tblpPr w:leftFromText="180" w:rightFromText="180" w:vertAnchor="text" w:horzAnchor="page" w:tblpX="1882" w:tblpY="187"/>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983"/>
        <w:gridCol w:w="1697"/>
        <w:gridCol w:w="3263"/>
      </w:tblGrid>
      <w:tr w:rsidR="003138FA" w:rsidRPr="00A136C5" w:rsidTr="00103D3F">
        <w:tc>
          <w:tcPr>
            <w:tcW w:w="848" w:type="pct"/>
            <w:vAlign w:val="center"/>
          </w:tcPr>
          <w:p w:rsidR="003138FA" w:rsidRPr="002E0605" w:rsidRDefault="003138FA" w:rsidP="00103D3F">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项目</w:t>
            </w:r>
          </w:p>
        </w:tc>
        <w:tc>
          <w:tcPr>
            <w:tcW w:w="1186" w:type="pct"/>
          </w:tcPr>
          <w:p w:rsidR="003138FA" w:rsidRPr="002E0605" w:rsidRDefault="003138FA" w:rsidP="00103D3F">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评审内容</w:t>
            </w:r>
          </w:p>
        </w:tc>
        <w:tc>
          <w:tcPr>
            <w:tcW w:w="1015" w:type="pct"/>
            <w:vAlign w:val="center"/>
          </w:tcPr>
          <w:p w:rsidR="003138FA" w:rsidRPr="002E0605" w:rsidRDefault="003138FA" w:rsidP="00103D3F">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评审人员</w:t>
            </w:r>
          </w:p>
        </w:tc>
        <w:tc>
          <w:tcPr>
            <w:tcW w:w="1950" w:type="pct"/>
            <w:vAlign w:val="center"/>
          </w:tcPr>
          <w:p w:rsidR="003138FA" w:rsidRPr="002E0605" w:rsidRDefault="003138FA" w:rsidP="00103D3F">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评分说明</w:t>
            </w:r>
          </w:p>
        </w:tc>
      </w:tr>
      <w:tr w:rsidR="003138FA" w:rsidRPr="00A136C5" w:rsidTr="00103D3F">
        <w:trPr>
          <w:trHeight w:val="1937"/>
        </w:trPr>
        <w:tc>
          <w:tcPr>
            <w:tcW w:w="848" w:type="pct"/>
            <w:tcBorders>
              <w:bottom w:val="single" w:sz="4" w:space="0" w:color="auto"/>
            </w:tcBorders>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道德品行</w:t>
            </w:r>
          </w:p>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（30分）</w:t>
            </w:r>
          </w:p>
        </w:tc>
        <w:tc>
          <w:tcPr>
            <w:tcW w:w="1186" w:type="pct"/>
            <w:vAlign w:val="center"/>
          </w:tcPr>
          <w:p w:rsidR="003138FA" w:rsidRPr="002E0605" w:rsidRDefault="003138FA" w:rsidP="00103D3F">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认真遵守中国法律法规和校级校规，无犯罪记录和其他不良记录</w:t>
            </w:r>
          </w:p>
        </w:tc>
        <w:tc>
          <w:tcPr>
            <w:tcW w:w="1015" w:type="pct"/>
            <w:vMerge w:val="restart"/>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导师、班主任、国际辅导员等</w:t>
            </w:r>
          </w:p>
        </w:tc>
        <w:tc>
          <w:tcPr>
            <w:tcW w:w="1950" w:type="pct"/>
            <w:tcBorders>
              <w:bottom w:val="single" w:sz="4" w:space="0" w:color="auto"/>
            </w:tcBorders>
            <w:vAlign w:val="center"/>
          </w:tcPr>
          <w:p w:rsidR="003138FA" w:rsidRPr="002E0605" w:rsidRDefault="003138FA" w:rsidP="00103D3F">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学生因犯罪及严重违法违纪受到留校察看及以上纪律处分为一票否决，扣30分。记过处分扣15分，严重警告扣10分，警告扣10分（留学生违纪处分办法参考《武汉理工大学普通全日制本科学生违纪处理办法》）。</w:t>
            </w:r>
          </w:p>
        </w:tc>
      </w:tr>
      <w:tr w:rsidR="003138FA" w:rsidRPr="00A136C5" w:rsidTr="00103D3F">
        <w:trPr>
          <w:trHeight w:val="315"/>
        </w:trPr>
        <w:tc>
          <w:tcPr>
            <w:tcW w:w="848" w:type="pct"/>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活动表现</w:t>
            </w:r>
          </w:p>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（20分）</w:t>
            </w:r>
          </w:p>
        </w:tc>
        <w:tc>
          <w:tcPr>
            <w:tcW w:w="1186" w:type="pct"/>
            <w:vAlign w:val="center"/>
          </w:tcPr>
          <w:p w:rsidR="003138FA" w:rsidRPr="002E0605" w:rsidRDefault="003138FA" w:rsidP="00103D3F">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积极参加学校组织的各类文体、学术和社会实践活动</w:t>
            </w:r>
          </w:p>
        </w:tc>
        <w:tc>
          <w:tcPr>
            <w:tcW w:w="1015" w:type="pct"/>
            <w:vMerge/>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p>
        </w:tc>
        <w:tc>
          <w:tcPr>
            <w:tcW w:w="1950" w:type="pct"/>
            <w:vAlign w:val="center"/>
          </w:tcPr>
          <w:p w:rsidR="003138FA" w:rsidRPr="002E0605" w:rsidRDefault="003138FA" w:rsidP="00103D3F">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参与度</w:t>
            </w:r>
            <w:r w:rsidRPr="002E0605">
              <w:rPr>
                <w:rFonts w:ascii="宋体" w:hAnsi="宋体" w:cs="宋体" w:hint="eastAsia"/>
                <w:color w:val="000000" w:themeColor="text1"/>
                <w:sz w:val="24"/>
                <w:szCs w:val="32"/>
              </w:rPr>
              <w:t>≧</w:t>
            </w:r>
            <w:r w:rsidRPr="002E0605">
              <w:rPr>
                <w:rFonts w:ascii="仿宋_GB2312" w:eastAsia="仿宋_GB2312" w:hAnsi="仿宋" w:hint="eastAsia"/>
                <w:color w:val="000000" w:themeColor="text1"/>
                <w:sz w:val="24"/>
                <w:szCs w:val="32"/>
              </w:rPr>
              <w:t>80%者计20分； 参与度60-79%者，计15分；参与度40-59%者，计10分；参与度20-39%者，计5分；参与度&lt;20%者，计2分；完全不参与者不得分。</w:t>
            </w:r>
          </w:p>
        </w:tc>
      </w:tr>
      <w:tr w:rsidR="003138FA" w:rsidRPr="00A136C5" w:rsidTr="00103D3F">
        <w:trPr>
          <w:trHeight w:val="1361"/>
        </w:trPr>
        <w:tc>
          <w:tcPr>
            <w:tcW w:w="848" w:type="pct"/>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学习成绩</w:t>
            </w:r>
          </w:p>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（30分）</w:t>
            </w:r>
          </w:p>
        </w:tc>
        <w:tc>
          <w:tcPr>
            <w:tcW w:w="1186" w:type="pct"/>
            <w:vAlign w:val="center"/>
          </w:tcPr>
          <w:p w:rsidR="003138FA" w:rsidRPr="002E0605" w:rsidRDefault="003138FA" w:rsidP="00103D3F">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认真完成课程及其他培养方案中的学习任务</w:t>
            </w:r>
          </w:p>
        </w:tc>
        <w:tc>
          <w:tcPr>
            <w:tcW w:w="1015" w:type="pct"/>
            <w:vMerge/>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p>
        </w:tc>
        <w:tc>
          <w:tcPr>
            <w:tcW w:w="1950" w:type="pct"/>
            <w:vAlign w:val="center"/>
          </w:tcPr>
          <w:p w:rsidR="003138FA" w:rsidRPr="002E0605" w:rsidRDefault="003138FA" w:rsidP="00103D3F">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该评审学年内，1门挂科扣2分，2门挂科扣4分，以此类推，扣完为止。研究生可参考其导师对学生的学习能力评价酌情给分。</w:t>
            </w:r>
          </w:p>
        </w:tc>
      </w:tr>
      <w:tr w:rsidR="003138FA" w:rsidRPr="00A136C5" w:rsidTr="00103D3F">
        <w:trPr>
          <w:trHeight w:val="1267"/>
        </w:trPr>
        <w:tc>
          <w:tcPr>
            <w:tcW w:w="848" w:type="pct"/>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学习/科研态度</w:t>
            </w:r>
          </w:p>
          <w:p w:rsidR="003138FA" w:rsidRPr="002E0605" w:rsidRDefault="003138FA" w:rsidP="00103D3F">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（20分）</w:t>
            </w:r>
          </w:p>
        </w:tc>
        <w:tc>
          <w:tcPr>
            <w:tcW w:w="1186" w:type="pct"/>
            <w:vAlign w:val="center"/>
          </w:tcPr>
          <w:p w:rsidR="003138FA" w:rsidRPr="002E0605" w:rsidRDefault="003138FA" w:rsidP="00103D3F">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学习态度端正，不无故缺勤、迟到、早退，尊师重道，团结同学，遵守学术道德</w:t>
            </w:r>
          </w:p>
        </w:tc>
        <w:tc>
          <w:tcPr>
            <w:tcW w:w="1015" w:type="pct"/>
            <w:vMerge/>
            <w:vAlign w:val="center"/>
          </w:tcPr>
          <w:p w:rsidR="003138FA" w:rsidRPr="002E0605" w:rsidRDefault="003138FA" w:rsidP="00103D3F">
            <w:pPr>
              <w:adjustRightInd w:val="0"/>
              <w:snapToGrid w:val="0"/>
              <w:jc w:val="center"/>
              <w:rPr>
                <w:rFonts w:ascii="仿宋_GB2312" w:eastAsia="仿宋_GB2312" w:hAnsi="仿宋"/>
                <w:color w:val="000000" w:themeColor="text1"/>
                <w:sz w:val="24"/>
                <w:szCs w:val="32"/>
              </w:rPr>
            </w:pPr>
          </w:p>
        </w:tc>
        <w:tc>
          <w:tcPr>
            <w:tcW w:w="1950" w:type="pct"/>
            <w:vAlign w:val="center"/>
          </w:tcPr>
          <w:p w:rsidR="003138FA" w:rsidRPr="002E0605" w:rsidRDefault="003138FA" w:rsidP="00103D3F">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学习态度非常好30分，良好25分，一般20分，较差10分，非常差0分。研究生可参考其导师对学生的学习态度评价酌情给分。</w:t>
            </w:r>
          </w:p>
        </w:tc>
      </w:tr>
      <w:tr w:rsidR="003138FA" w:rsidRPr="00A136C5" w:rsidTr="00103D3F">
        <w:trPr>
          <w:trHeight w:val="574"/>
        </w:trPr>
        <w:tc>
          <w:tcPr>
            <w:tcW w:w="5000" w:type="pct"/>
            <w:gridSpan w:val="4"/>
            <w:vAlign w:val="center"/>
          </w:tcPr>
          <w:p w:rsidR="003138FA" w:rsidRPr="002E0605" w:rsidRDefault="003138FA" w:rsidP="00103D3F">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*定量打分情况应与评审意见一致，原则上60分及以上为合格</w:t>
            </w:r>
          </w:p>
        </w:tc>
      </w:tr>
    </w:tbl>
    <w:p w:rsidR="0037274A" w:rsidRPr="005B60FC" w:rsidRDefault="003138FA" w:rsidP="005B60FC">
      <w:pPr>
        <w:adjustRightInd w:val="0"/>
        <w:snapToGrid w:val="0"/>
        <w:ind w:firstLineChars="200" w:firstLine="643"/>
        <w:rPr>
          <w:rFonts w:ascii="仿宋_GB2312" w:eastAsia="仿宋_GB2312" w:hAnsi="仿宋"/>
          <w:b/>
          <w:bCs/>
          <w:color w:val="000000" w:themeColor="text1"/>
          <w:sz w:val="32"/>
          <w:szCs w:val="32"/>
        </w:rPr>
      </w:pPr>
      <w:r w:rsidRPr="005B60FC">
        <w:rPr>
          <w:rFonts w:ascii="仿宋_GB2312" w:eastAsia="仿宋_GB2312" w:hAnsi="仿宋" w:hint="eastAsia"/>
          <w:b/>
          <w:bCs/>
          <w:color w:val="000000" w:themeColor="text1"/>
          <w:sz w:val="32"/>
          <w:szCs w:val="32"/>
        </w:rPr>
        <w:br w:type="page"/>
      </w:r>
      <w:r w:rsidR="0037274A" w:rsidRPr="005B60FC">
        <w:rPr>
          <w:rFonts w:ascii="仿宋_GB2312" w:eastAsia="仿宋_GB2312" w:hAnsi="仿宋" w:hint="eastAsia"/>
          <w:b/>
          <w:bCs/>
          <w:color w:val="000000" w:themeColor="text1"/>
          <w:sz w:val="32"/>
          <w:szCs w:val="32"/>
        </w:rPr>
        <w:lastRenderedPageBreak/>
        <w:t>第</w:t>
      </w:r>
      <w:r w:rsidR="005547FE" w:rsidRPr="005B60FC">
        <w:rPr>
          <w:rFonts w:ascii="仿宋_GB2312" w:eastAsia="仿宋_GB2312" w:hAnsi="仿宋" w:hint="eastAsia"/>
          <w:b/>
          <w:bCs/>
          <w:color w:val="000000" w:themeColor="text1"/>
          <w:sz w:val="32"/>
          <w:szCs w:val="32"/>
        </w:rPr>
        <w:t>四</w:t>
      </w:r>
      <w:r w:rsidR="0037274A" w:rsidRPr="005B60FC">
        <w:rPr>
          <w:rFonts w:ascii="仿宋_GB2312" w:eastAsia="仿宋_GB2312" w:hAnsi="仿宋" w:hint="eastAsia"/>
          <w:b/>
          <w:bCs/>
          <w:color w:val="000000" w:themeColor="text1"/>
          <w:sz w:val="32"/>
          <w:szCs w:val="32"/>
        </w:rPr>
        <w:t>条 评审意见</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年度评审意见分为“合格”和“不合格”两种，原则上60分及以上为合格，60分以下为不合格；</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定量评分情况应与评审意见一致，不一致的应在</w:t>
      </w:r>
      <w:r w:rsidR="00D23001" w:rsidRPr="00A136C5">
        <w:rPr>
          <w:rFonts w:ascii="仿宋_GB2312" w:eastAsia="仿宋_GB2312" w:hAnsi="仿宋" w:hint="eastAsia"/>
          <w:color w:val="000000" w:themeColor="text1"/>
          <w:sz w:val="32"/>
          <w:szCs w:val="32"/>
        </w:rPr>
        <w:t>中国政府奖学金来华留学信息管理系统中</w:t>
      </w:r>
      <w:r w:rsidRPr="00A136C5">
        <w:rPr>
          <w:rFonts w:ascii="仿宋_GB2312" w:eastAsia="仿宋_GB2312" w:hAnsi="仿宋" w:hint="eastAsia"/>
          <w:color w:val="000000" w:themeColor="text1"/>
          <w:sz w:val="32"/>
          <w:szCs w:val="32"/>
        </w:rPr>
        <w:t>予以说明，并提交相关说明材料；</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凡年度评审不合格者</w:t>
      </w:r>
      <w:r w:rsidR="00D015B1" w:rsidRPr="00A136C5">
        <w:rPr>
          <w:rFonts w:ascii="仿宋_GB2312" w:eastAsia="仿宋_GB2312" w:hAnsi="仿宋" w:hint="eastAsia"/>
          <w:color w:val="000000" w:themeColor="text1"/>
          <w:sz w:val="32"/>
          <w:szCs w:val="32"/>
        </w:rPr>
        <w:t>，由留学生教育管理中心结合学生表现情况决定</w:t>
      </w:r>
      <w:r w:rsidRPr="00A136C5">
        <w:rPr>
          <w:rFonts w:ascii="仿宋_GB2312" w:eastAsia="仿宋_GB2312" w:hAnsi="仿宋" w:hint="eastAsia"/>
          <w:color w:val="000000" w:themeColor="text1"/>
          <w:sz w:val="32"/>
          <w:szCs w:val="32"/>
        </w:rPr>
        <w:t>自下一学年度起中止</w:t>
      </w:r>
      <w:r w:rsidR="00D015B1" w:rsidRPr="00A136C5">
        <w:rPr>
          <w:rFonts w:ascii="仿宋_GB2312" w:eastAsia="仿宋_GB2312" w:hAnsi="仿宋" w:hint="eastAsia"/>
          <w:color w:val="000000" w:themeColor="text1"/>
          <w:sz w:val="32"/>
          <w:szCs w:val="32"/>
        </w:rPr>
        <w:t>奖学金</w:t>
      </w:r>
      <w:r w:rsidRPr="00A136C5">
        <w:rPr>
          <w:rFonts w:ascii="仿宋_GB2312" w:eastAsia="仿宋_GB2312" w:hAnsi="仿宋" w:hint="eastAsia"/>
          <w:color w:val="000000" w:themeColor="text1"/>
          <w:sz w:val="32"/>
          <w:szCs w:val="32"/>
        </w:rPr>
        <w:t>发放</w:t>
      </w:r>
      <w:r w:rsidR="00D015B1" w:rsidRPr="00A136C5">
        <w:rPr>
          <w:rFonts w:ascii="仿宋_GB2312" w:eastAsia="仿宋_GB2312" w:hAnsi="仿宋" w:hint="eastAsia"/>
          <w:color w:val="000000" w:themeColor="text1"/>
          <w:sz w:val="32"/>
          <w:szCs w:val="32"/>
        </w:rPr>
        <w:t>或取消奖学金资格</w:t>
      </w:r>
      <w:r w:rsidRPr="00A136C5">
        <w:rPr>
          <w:rFonts w:ascii="仿宋_GB2312" w:eastAsia="仿宋_GB2312" w:hAnsi="仿宋" w:hint="eastAsia"/>
          <w:color w:val="000000" w:themeColor="text1"/>
          <w:sz w:val="32"/>
          <w:szCs w:val="32"/>
        </w:rPr>
        <w:t>。</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有下列情况之一者，中止其享受中国政府奖学金资格一年：</w:t>
      </w:r>
    </w:p>
    <w:p w:rsidR="0037274A" w:rsidRPr="00A136C5" w:rsidRDefault="0037274A" w:rsidP="00A136C5">
      <w:pPr>
        <w:numPr>
          <w:ilvl w:val="0"/>
          <w:numId w:val="5"/>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因课程考核不合格留级或者降级的；</w:t>
      </w:r>
    </w:p>
    <w:p w:rsidR="0037274A" w:rsidRPr="00A136C5" w:rsidRDefault="0037274A" w:rsidP="00A136C5">
      <w:pPr>
        <w:numPr>
          <w:ilvl w:val="0"/>
          <w:numId w:val="5"/>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所修课程连续两年未达到规定学分的；</w:t>
      </w:r>
    </w:p>
    <w:p w:rsidR="005B60FC" w:rsidRDefault="0037274A" w:rsidP="005B60FC">
      <w:pPr>
        <w:numPr>
          <w:ilvl w:val="0"/>
          <w:numId w:val="5"/>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受到留校察看处分的；</w:t>
      </w:r>
    </w:p>
    <w:p w:rsidR="0037274A" w:rsidRPr="005B60FC" w:rsidRDefault="0037274A" w:rsidP="005B60FC">
      <w:pPr>
        <w:numPr>
          <w:ilvl w:val="0"/>
          <w:numId w:val="5"/>
        </w:numPr>
        <w:adjustRightInd w:val="0"/>
        <w:snapToGrid w:val="0"/>
        <w:rPr>
          <w:rFonts w:ascii="仿宋_GB2312" w:eastAsia="仿宋_GB2312" w:hAnsi="仿宋"/>
          <w:color w:val="000000" w:themeColor="text1"/>
          <w:sz w:val="32"/>
          <w:szCs w:val="32"/>
        </w:rPr>
      </w:pPr>
      <w:r w:rsidRPr="005B60FC">
        <w:rPr>
          <w:rFonts w:ascii="仿宋_GB2312" w:eastAsia="仿宋_GB2312" w:hAnsi="仿宋" w:hint="eastAsia"/>
          <w:color w:val="000000" w:themeColor="text1"/>
          <w:sz w:val="32"/>
          <w:szCs w:val="32"/>
        </w:rPr>
        <w:t>其他未尽事宜根据情况上报来华留学生奖学金年度评审委员会后酌情考虑。</w:t>
      </w:r>
    </w:p>
    <w:p w:rsidR="0037274A" w:rsidRPr="00A136C5" w:rsidRDefault="0037274A" w:rsidP="00A136C5">
      <w:pPr>
        <w:adjustRightInd w:val="0"/>
        <w:snapToGrid w:val="0"/>
        <w:ind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被中止享受中国政府奖学金资格者，自下一学年开学起停发其奖学金，但本人可按照学校有关规定申请自费留校继续学习。</w:t>
      </w:r>
    </w:p>
    <w:p w:rsidR="0037274A" w:rsidRPr="00A136C5" w:rsidRDefault="0037274A" w:rsidP="00A136C5">
      <w:pPr>
        <w:adjustRightInd w:val="0"/>
        <w:snapToGrid w:val="0"/>
        <w:ind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中止期满前，经本人申请，可以参加当年的年度评审，如评审合格，经基金委批准后，可以自下一学年起恢复发放奖学金。</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有下列情况之一者，取消其享受中国政府奖学金的资格：</w:t>
      </w:r>
    </w:p>
    <w:p w:rsidR="0037274A" w:rsidRPr="00A136C5" w:rsidRDefault="0037274A" w:rsidP="00A136C5">
      <w:pPr>
        <w:numPr>
          <w:ilvl w:val="0"/>
          <w:numId w:val="6"/>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受到勒令退学或者开除学籍处分的；</w:t>
      </w:r>
    </w:p>
    <w:p w:rsidR="0037274A" w:rsidRPr="00A136C5" w:rsidRDefault="0037274A" w:rsidP="00A136C5">
      <w:pPr>
        <w:numPr>
          <w:ilvl w:val="0"/>
          <w:numId w:val="6"/>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在校学习期间累计两次未通过年度评审的；</w:t>
      </w:r>
    </w:p>
    <w:p w:rsidR="0037274A" w:rsidRPr="00A136C5" w:rsidRDefault="0037274A" w:rsidP="00A136C5">
      <w:pPr>
        <w:numPr>
          <w:ilvl w:val="0"/>
          <w:numId w:val="6"/>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无正当理由不参加年度评审的。</w:t>
      </w:r>
    </w:p>
    <w:p w:rsidR="0037274A" w:rsidRPr="00A136C5" w:rsidRDefault="0037274A" w:rsidP="00A136C5">
      <w:pPr>
        <w:adjustRightInd w:val="0"/>
        <w:snapToGrid w:val="0"/>
        <w:ind w:firstLineChars="220" w:firstLine="704"/>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被取消享受中国政府奖学金资格者，从公布之日起停发其奖学金，其享受中国政府奖学金的资格不得再恢复。</w:t>
      </w:r>
    </w:p>
    <w:p w:rsidR="0037274A" w:rsidRPr="00A136C5" w:rsidRDefault="0037274A" w:rsidP="00A136C5">
      <w:pPr>
        <w:adjustRightInd w:val="0"/>
        <w:snapToGrid w:val="0"/>
        <w:ind w:firstLineChars="200" w:firstLine="643"/>
        <w:rPr>
          <w:rFonts w:ascii="仿宋_GB2312" w:eastAsia="仿宋_GB2312" w:hAnsi="仿宋"/>
          <w:b/>
          <w:bCs/>
          <w:color w:val="000000" w:themeColor="text1"/>
          <w:sz w:val="32"/>
          <w:szCs w:val="32"/>
        </w:rPr>
      </w:pPr>
      <w:r w:rsidRPr="00A136C5">
        <w:rPr>
          <w:rFonts w:ascii="仿宋_GB2312" w:eastAsia="仿宋_GB2312" w:hAnsi="仿宋" w:hint="eastAsia"/>
          <w:b/>
          <w:bCs/>
          <w:color w:val="000000" w:themeColor="text1"/>
          <w:sz w:val="32"/>
          <w:szCs w:val="32"/>
        </w:rPr>
        <w:t>第</w:t>
      </w:r>
      <w:r w:rsidR="005547FE" w:rsidRPr="00A136C5">
        <w:rPr>
          <w:rFonts w:ascii="仿宋_GB2312" w:eastAsia="仿宋_GB2312" w:hAnsi="仿宋" w:hint="eastAsia"/>
          <w:b/>
          <w:bCs/>
          <w:color w:val="000000" w:themeColor="text1"/>
          <w:sz w:val="32"/>
          <w:szCs w:val="32"/>
        </w:rPr>
        <w:t>五</w:t>
      </w:r>
      <w:r w:rsidRPr="00A136C5">
        <w:rPr>
          <w:rFonts w:ascii="仿宋_GB2312" w:eastAsia="仿宋_GB2312" w:hAnsi="仿宋" w:hint="eastAsia"/>
          <w:b/>
          <w:bCs/>
          <w:color w:val="000000" w:themeColor="text1"/>
          <w:sz w:val="32"/>
          <w:szCs w:val="32"/>
        </w:rPr>
        <w:t>条 附则</w:t>
      </w:r>
    </w:p>
    <w:p w:rsidR="0037274A" w:rsidRPr="00A136C5" w:rsidRDefault="0037274A" w:rsidP="008F063F">
      <w:pPr>
        <w:adjustRightInd w:val="0"/>
        <w:snapToGrid w:val="0"/>
        <w:rPr>
          <w:rFonts w:ascii="仿宋_GB2312" w:eastAsia="仿宋_GB2312" w:hAnsi="仿宋" w:hint="eastAsia"/>
          <w:bCs/>
          <w:color w:val="000000" w:themeColor="text1"/>
          <w:sz w:val="32"/>
          <w:szCs w:val="32"/>
        </w:rPr>
      </w:pPr>
      <w:r w:rsidRPr="00A136C5">
        <w:rPr>
          <w:rFonts w:ascii="仿宋_GB2312" w:eastAsia="仿宋_GB2312" w:hAnsi="仿宋" w:hint="eastAsia"/>
          <w:b/>
          <w:bCs/>
          <w:color w:val="000000" w:themeColor="text1"/>
          <w:sz w:val="32"/>
          <w:szCs w:val="32"/>
        </w:rPr>
        <w:t xml:space="preserve">   </w:t>
      </w:r>
      <w:r w:rsidRPr="00A136C5">
        <w:rPr>
          <w:rFonts w:ascii="仿宋_GB2312" w:eastAsia="仿宋_GB2312" w:hAnsi="仿宋" w:hint="eastAsia"/>
          <w:bCs/>
          <w:color w:val="000000" w:themeColor="text1"/>
          <w:sz w:val="32"/>
          <w:szCs w:val="32"/>
        </w:rPr>
        <w:t>本实施细则由留学生教育管理中心负责解释。</w:t>
      </w:r>
      <w:bookmarkStart w:id="1" w:name="_GoBack"/>
      <w:bookmarkEnd w:id="1"/>
    </w:p>
    <w:p w:rsidR="0037274A" w:rsidRPr="00A136C5" w:rsidRDefault="008F063F" w:rsidP="008F063F">
      <w:pPr>
        <w:adjustRightInd w:val="0"/>
        <w:snapToGrid w:val="0"/>
        <w:jc w:val="right"/>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 xml:space="preserve">                    </w:t>
      </w:r>
      <w:r w:rsidR="0037274A" w:rsidRPr="00A136C5">
        <w:rPr>
          <w:rFonts w:ascii="仿宋_GB2312" w:eastAsia="仿宋_GB2312" w:hAnsi="仿宋" w:hint="eastAsia"/>
          <w:bCs/>
          <w:color w:val="000000" w:themeColor="text1"/>
          <w:sz w:val="32"/>
          <w:szCs w:val="32"/>
        </w:rPr>
        <w:t>武汉理工大学</w:t>
      </w:r>
      <w:r>
        <w:rPr>
          <w:rFonts w:ascii="仿宋_GB2312" w:eastAsia="仿宋_GB2312" w:hAnsi="仿宋" w:hint="eastAsia"/>
          <w:bCs/>
          <w:color w:val="000000" w:themeColor="text1"/>
          <w:sz w:val="32"/>
          <w:szCs w:val="32"/>
        </w:rPr>
        <w:t>国际教育学院</w:t>
      </w:r>
    </w:p>
    <w:p w:rsidR="00AA04E3" w:rsidRPr="00A136C5" w:rsidRDefault="0037274A" w:rsidP="008F063F">
      <w:pPr>
        <w:adjustRightInd w:val="0"/>
        <w:snapToGrid w:val="0"/>
        <w:jc w:val="right"/>
        <w:rPr>
          <w:rFonts w:ascii="仿宋_GB2312" w:eastAsia="仿宋_GB2312" w:hAnsi="仿宋" w:hint="eastAsia"/>
          <w:bCs/>
          <w:color w:val="000000" w:themeColor="text1"/>
          <w:sz w:val="32"/>
          <w:szCs w:val="32"/>
        </w:rPr>
      </w:pPr>
      <w:r w:rsidRPr="00A136C5">
        <w:rPr>
          <w:rFonts w:ascii="仿宋_GB2312" w:eastAsia="仿宋_GB2312" w:hAnsi="仿宋" w:hint="eastAsia"/>
          <w:bCs/>
          <w:color w:val="000000" w:themeColor="text1"/>
          <w:sz w:val="32"/>
          <w:szCs w:val="32"/>
        </w:rPr>
        <w:t>202</w:t>
      </w:r>
      <w:r w:rsidR="007825F5" w:rsidRPr="00A136C5">
        <w:rPr>
          <w:rFonts w:ascii="仿宋_GB2312" w:eastAsia="仿宋_GB2312" w:hAnsi="仿宋" w:hint="eastAsia"/>
          <w:bCs/>
          <w:color w:val="000000" w:themeColor="text1"/>
          <w:sz w:val="32"/>
          <w:szCs w:val="32"/>
        </w:rPr>
        <w:t>3</w:t>
      </w:r>
      <w:r w:rsidRPr="00A136C5">
        <w:rPr>
          <w:rFonts w:ascii="仿宋_GB2312" w:eastAsia="仿宋_GB2312" w:hAnsi="仿宋" w:hint="eastAsia"/>
          <w:bCs/>
          <w:color w:val="000000" w:themeColor="text1"/>
          <w:sz w:val="32"/>
          <w:szCs w:val="32"/>
        </w:rPr>
        <w:t>年4月</w:t>
      </w:r>
      <w:r w:rsidR="00AA04E3" w:rsidRPr="00A136C5">
        <w:rPr>
          <w:rFonts w:ascii="仿宋_GB2312" w:eastAsia="仿宋_GB2312" w:hAnsi="仿宋" w:hint="eastAsia"/>
          <w:bCs/>
          <w:color w:val="000000" w:themeColor="text1"/>
          <w:sz w:val="32"/>
          <w:szCs w:val="32"/>
        </w:rPr>
        <w:t>1</w:t>
      </w:r>
      <w:r w:rsidR="007825F5" w:rsidRPr="00A136C5">
        <w:rPr>
          <w:rFonts w:ascii="仿宋_GB2312" w:eastAsia="仿宋_GB2312" w:hAnsi="仿宋" w:hint="eastAsia"/>
          <w:bCs/>
          <w:color w:val="000000" w:themeColor="text1"/>
          <w:sz w:val="32"/>
          <w:szCs w:val="32"/>
        </w:rPr>
        <w:t>2</w:t>
      </w:r>
      <w:r w:rsidRPr="00A136C5">
        <w:rPr>
          <w:rFonts w:ascii="仿宋_GB2312" w:eastAsia="仿宋_GB2312" w:hAnsi="仿宋" w:hint="eastAsia"/>
          <w:bCs/>
          <w:color w:val="000000" w:themeColor="text1"/>
          <w:sz w:val="32"/>
          <w:szCs w:val="32"/>
        </w:rPr>
        <w:t>日</w:t>
      </w:r>
    </w:p>
    <w:sectPr w:rsidR="00AA04E3" w:rsidRPr="00A13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D9" w:rsidRDefault="00133FD9" w:rsidP="00B6015C">
      <w:r>
        <w:separator/>
      </w:r>
    </w:p>
  </w:endnote>
  <w:endnote w:type="continuationSeparator" w:id="0">
    <w:p w:rsidR="00133FD9" w:rsidRDefault="00133FD9" w:rsidP="00B6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D9" w:rsidRDefault="00133FD9" w:rsidP="00B6015C">
      <w:r>
        <w:separator/>
      </w:r>
    </w:p>
  </w:footnote>
  <w:footnote w:type="continuationSeparator" w:id="0">
    <w:p w:rsidR="00133FD9" w:rsidRDefault="00133FD9" w:rsidP="00B60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2AA"/>
    <w:multiLevelType w:val="multilevel"/>
    <w:tmpl w:val="039172AA"/>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8112F7B"/>
    <w:multiLevelType w:val="multilevel"/>
    <w:tmpl w:val="24D0682F"/>
    <w:lvl w:ilvl="0">
      <w:start w:val="1"/>
      <w:numFmt w:val="decimal"/>
      <w:lvlText w:val="%1."/>
      <w:lvlJc w:val="left"/>
      <w:pPr>
        <w:ind w:left="3681"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0D261A90"/>
    <w:multiLevelType w:val="multilevel"/>
    <w:tmpl w:val="0D261A9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4D0682F"/>
    <w:multiLevelType w:val="multilevel"/>
    <w:tmpl w:val="24D0682F"/>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9B52DEC"/>
    <w:multiLevelType w:val="multilevel"/>
    <w:tmpl w:val="29B52DEC"/>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34BB2FB9"/>
    <w:multiLevelType w:val="multilevel"/>
    <w:tmpl w:val="34BB2FB9"/>
    <w:lvl w:ilvl="0">
      <w:start w:val="1"/>
      <w:numFmt w:val="decimal"/>
      <w:lvlText w:val="（%1）"/>
      <w:lvlJc w:val="left"/>
      <w:pPr>
        <w:ind w:left="1124" w:hanging="420"/>
      </w:pPr>
      <w:rPr>
        <w:rFonts w:hint="eastAsia"/>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6" w15:restartNumberingAfterBreak="0">
    <w:nsid w:val="4A555A21"/>
    <w:multiLevelType w:val="multilevel"/>
    <w:tmpl w:val="4A555A21"/>
    <w:lvl w:ilvl="0">
      <w:start w:val="1"/>
      <w:numFmt w:val="decimal"/>
      <w:lvlText w:val="（%1）"/>
      <w:lvlJc w:val="left"/>
      <w:pPr>
        <w:ind w:left="1124" w:hanging="420"/>
      </w:pPr>
      <w:rPr>
        <w:rFonts w:hint="eastAsia"/>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67"/>
    <w:rsid w:val="00056C49"/>
    <w:rsid w:val="00062683"/>
    <w:rsid w:val="000B039A"/>
    <w:rsid w:val="000C0D92"/>
    <w:rsid w:val="000D5982"/>
    <w:rsid w:val="00103D3F"/>
    <w:rsid w:val="0011509B"/>
    <w:rsid w:val="001332B4"/>
    <w:rsid w:val="00133FD9"/>
    <w:rsid w:val="001A52D7"/>
    <w:rsid w:val="001C5272"/>
    <w:rsid w:val="00232F3F"/>
    <w:rsid w:val="00252010"/>
    <w:rsid w:val="002B7964"/>
    <w:rsid w:val="002E0605"/>
    <w:rsid w:val="00312049"/>
    <w:rsid w:val="003138FA"/>
    <w:rsid w:val="00342DA5"/>
    <w:rsid w:val="00355949"/>
    <w:rsid w:val="0037134D"/>
    <w:rsid w:val="0037274A"/>
    <w:rsid w:val="0037334A"/>
    <w:rsid w:val="00407EDA"/>
    <w:rsid w:val="004B28A7"/>
    <w:rsid w:val="0051704E"/>
    <w:rsid w:val="005547FE"/>
    <w:rsid w:val="005B60FC"/>
    <w:rsid w:val="005E08A7"/>
    <w:rsid w:val="007825F5"/>
    <w:rsid w:val="007E44BC"/>
    <w:rsid w:val="008A169E"/>
    <w:rsid w:val="008F063F"/>
    <w:rsid w:val="008F49EA"/>
    <w:rsid w:val="00995E44"/>
    <w:rsid w:val="009C7CC8"/>
    <w:rsid w:val="00A136C5"/>
    <w:rsid w:val="00A2421D"/>
    <w:rsid w:val="00A40B38"/>
    <w:rsid w:val="00A44A20"/>
    <w:rsid w:val="00AA04E3"/>
    <w:rsid w:val="00AB305D"/>
    <w:rsid w:val="00AB3767"/>
    <w:rsid w:val="00AC304E"/>
    <w:rsid w:val="00AD105C"/>
    <w:rsid w:val="00B6015C"/>
    <w:rsid w:val="00B65A1E"/>
    <w:rsid w:val="00BC446E"/>
    <w:rsid w:val="00BF196D"/>
    <w:rsid w:val="00C26994"/>
    <w:rsid w:val="00C638B4"/>
    <w:rsid w:val="00C76111"/>
    <w:rsid w:val="00C76D19"/>
    <w:rsid w:val="00D015B1"/>
    <w:rsid w:val="00D123EC"/>
    <w:rsid w:val="00D1491B"/>
    <w:rsid w:val="00D22E6C"/>
    <w:rsid w:val="00D23001"/>
    <w:rsid w:val="00D31B88"/>
    <w:rsid w:val="00D32A67"/>
    <w:rsid w:val="00E13009"/>
    <w:rsid w:val="00E16F96"/>
    <w:rsid w:val="00E833CA"/>
    <w:rsid w:val="00EA096F"/>
    <w:rsid w:val="00EB6001"/>
    <w:rsid w:val="00ED74DB"/>
    <w:rsid w:val="00FF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E7236"/>
  <w15:docId w15:val="{C4994BE8-5807-4B18-958B-F9A9E05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1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015C"/>
    <w:rPr>
      <w:sz w:val="18"/>
      <w:szCs w:val="18"/>
    </w:rPr>
  </w:style>
  <w:style w:type="paragraph" w:styleId="a5">
    <w:name w:val="footer"/>
    <w:basedOn w:val="a"/>
    <w:link w:val="a6"/>
    <w:uiPriority w:val="99"/>
    <w:unhideWhenUsed/>
    <w:rsid w:val="00B6015C"/>
    <w:pPr>
      <w:tabs>
        <w:tab w:val="center" w:pos="4153"/>
        <w:tab w:val="right" w:pos="8306"/>
      </w:tabs>
      <w:snapToGrid w:val="0"/>
      <w:jc w:val="left"/>
    </w:pPr>
    <w:rPr>
      <w:sz w:val="18"/>
      <w:szCs w:val="18"/>
    </w:rPr>
  </w:style>
  <w:style w:type="character" w:customStyle="1" w:styleId="a6">
    <w:name w:val="页脚 字符"/>
    <w:basedOn w:val="a0"/>
    <w:link w:val="a5"/>
    <w:uiPriority w:val="99"/>
    <w:rsid w:val="00B6015C"/>
    <w:rPr>
      <w:sz w:val="18"/>
      <w:szCs w:val="18"/>
    </w:rPr>
  </w:style>
  <w:style w:type="paragraph" w:styleId="a7">
    <w:name w:val="Date"/>
    <w:basedOn w:val="a"/>
    <w:next w:val="a"/>
    <w:link w:val="a8"/>
    <w:uiPriority w:val="99"/>
    <w:semiHidden/>
    <w:unhideWhenUsed/>
    <w:rsid w:val="00AA04E3"/>
    <w:pPr>
      <w:ind w:leftChars="2500" w:left="100"/>
    </w:pPr>
  </w:style>
  <w:style w:type="character" w:customStyle="1" w:styleId="a8">
    <w:name w:val="日期 字符"/>
    <w:basedOn w:val="a0"/>
    <w:link w:val="a7"/>
    <w:uiPriority w:val="99"/>
    <w:semiHidden/>
    <w:rsid w:val="00AA04E3"/>
    <w:rPr>
      <w:rFonts w:ascii="Times New Roman" w:eastAsia="宋体" w:hAnsi="Times New Roman" w:cs="Times New Roman"/>
      <w:szCs w:val="24"/>
    </w:rPr>
  </w:style>
  <w:style w:type="paragraph" w:styleId="a9">
    <w:name w:val="List Paragraph"/>
    <w:basedOn w:val="a"/>
    <w:uiPriority w:val="34"/>
    <w:qFormat/>
    <w:rsid w:val="003138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855E-C140-4286-8E3E-7A508195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黄小勇</dc:creator>
  <cp:keywords/>
  <dc:description/>
  <cp:lastModifiedBy>Windows User</cp:lastModifiedBy>
  <cp:revision>27</cp:revision>
  <dcterms:created xsi:type="dcterms:W3CDTF">2021-07-08T07:08:00Z</dcterms:created>
  <dcterms:modified xsi:type="dcterms:W3CDTF">2023-04-23T02:01:00Z</dcterms:modified>
</cp:coreProperties>
</file>